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ascii="微软雅黑" w:hAnsi="微软雅黑" w:eastAsia="微软雅黑"/>
          <w:b/>
          <w:color w:val="FF0000"/>
          <w:sz w:val="44"/>
        </w:rPr>
      </w:pPr>
      <w:r>
        <w:rPr>
          <w:rFonts w:hint="eastAsia" w:ascii="微软雅黑" w:hAnsi="微软雅黑" w:eastAsia="微软雅黑"/>
          <w:b/>
          <w:color w:val="FF0000"/>
          <w:sz w:val="44"/>
        </w:rPr>
        <w:t>资本后EMBA董事长</w:t>
      </w:r>
      <w:r>
        <w:rPr>
          <w:rFonts w:ascii="微软雅黑" w:hAnsi="微软雅黑" w:eastAsia="微软雅黑"/>
          <w:b/>
          <w:color w:val="FF0000"/>
          <w:sz w:val="44"/>
        </w:rPr>
        <w:t>高端项目</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微软雅黑" w:hAnsi="微软雅黑" w:eastAsia="微软雅黑"/>
          <w:b/>
          <w:sz w:val="24"/>
          <w:szCs w:val="28"/>
        </w:rPr>
      </w:pPr>
      <w:r>
        <w:rPr>
          <w:rFonts w:hint="eastAsia" w:ascii="微软雅黑" w:hAnsi="微软雅黑" w:eastAsia="微软雅黑"/>
          <w:b/>
          <w:sz w:val="24"/>
          <w:szCs w:val="28"/>
        </w:rPr>
        <w:t>——卓越190商业领袖培育工程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微软雅黑" w:hAnsi="微软雅黑" w:eastAsia="微软雅黑"/>
          <w:b/>
          <w:sz w:val="24"/>
          <w:szCs w:val="28"/>
        </w:rPr>
      </w:pPr>
      <w:r>
        <w:rPr>
          <w:sz w:val="24"/>
        </w:rPr>
        <mc:AlternateContent>
          <mc:Choice Requires="wps">
            <w:drawing>
              <wp:anchor distT="0" distB="0" distL="114300" distR="114300" simplePos="0" relativeHeight="251710464" behindDoc="1" locked="0" layoutInCell="1" allowOverlap="1">
                <wp:simplePos x="0" y="0"/>
                <wp:positionH relativeFrom="column">
                  <wp:posOffset>709930</wp:posOffset>
                </wp:positionH>
                <wp:positionV relativeFrom="paragraph">
                  <wp:posOffset>131445</wp:posOffset>
                </wp:positionV>
                <wp:extent cx="4013200" cy="925195"/>
                <wp:effectExtent l="0" t="0" r="6350" b="8255"/>
                <wp:wrapNone/>
                <wp:docPr id="6" name="圆角矩形 6"/>
                <wp:cNvGraphicFramePr/>
                <a:graphic xmlns:a="http://schemas.openxmlformats.org/drawingml/2006/main">
                  <a:graphicData uri="http://schemas.microsoft.com/office/word/2010/wordprocessingShape">
                    <wps:wsp>
                      <wps:cNvSpPr/>
                      <wps:spPr>
                        <a:xfrm>
                          <a:off x="1826260" y="1792605"/>
                          <a:ext cx="4013200" cy="92519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5.9pt;margin-top:10.35pt;height:72.85pt;width:316pt;z-index:-251606016;v-text-anchor:middle;mso-width-relative:page;mso-height-relative:page;" fillcolor="#FFF2CC [663]" filled="t" stroked="f" coordsize="21600,21600" arcsize="0.166666666666667" o:gfxdata="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zn9CDXAAAACgEAAA8AAAAAAAAA&#10;AQAgAAAAIgAAAGRycy9kb3ducmV2LnhtbFBLAQIUABQAAAAIAIdO4kA0HntdhAIAAM0EAAAOAAAA&#10;AAAAAAEAIAAAACYBAABkcnMvZTJvRG9jLnhtbFBLBQYAAAAABgAGAFkBAAAcBgAAAAA=&#10;">
                <v:fill on="t" focussize="0,0"/>
                <v:stroke on="f" weight="1pt" miterlimit="8" joinstyle="miter"/>
                <v:imagedata o:title=""/>
                <o:lock v:ext="edit" aspectratio="f"/>
              </v:roundrect>
            </w:pict>
          </mc:Fallback>
        </mc:AlternateContent>
      </w:r>
    </w:p>
    <w:p>
      <w:pPr>
        <w:keepNext w:val="0"/>
        <w:keepLines w:val="0"/>
        <w:pageBreakBefore w:val="0"/>
        <w:kinsoku/>
        <w:wordWrap/>
        <w:overflowPunct/>
        <w:topLinePunct w:val="0"/>
        <w:autoSpaceDE/>
        <w:autoSpaceDN/>
        <w:bidi w:val="0"/>
        <w:adjustRightInd/>
        <w:spacing w:line="360" w:lineRule="auto"/>
        <w:jc w:val="center"/>
        <w:textAlignment w:val="auto"/>
        <w:outlineLvl w:val="9"/>
        <w:rPr>
          <w:rFonts w:ascii="仿宋" w:hAnsi="仿宋" w:eastAsia="仿宋" w:cs="微软雅黑"/>
          <w:b/>
          <w:bCs/>
          <w:color w:val="FF0000"/>
          <w:sz w:val="21"/>
        </w:rPr>
      </w:pPr>
      <w:r>
        <w:rPr>
          <w:rFonts w:hint="eastAsia" w:ascii="仿宋" w:hAnsi="仿宋" w:eastAsia="仿宋" w:cs="微软雅黑"/>
          <w:b/>
          <w:bCs/>
          <w:color w:val="FF0000"/>
          <w:sz w:val="21"/>
        </w:rPr>
        <w:t>国内首创教育产业新模式，读《资本后</w:t>
      </w:r>
      <w:r>
        <w:rPr>
          <w:rFonts w:ascii="仿宋" w:hAnsi="仿宋" w:eastAsia="仿宋" w:cs="微软雅黑"/>
          <w:b/>
          <w:bCs/>
          <w:color w:val="FF0000"/>
          <w:sz w:val="21"/>
        </w:rPr>
        <w:t>E</w:t>
      </w:r>
      <w:r>
        <w:rPr>
          <w:rFonts w:hint="eastAsia" w:ascii="仿宋" w:hAnsi="仿宋" w:eastAsia="仿宋" w:cs="微软雅黑"/>
          <w:b/>
          <w:bCs/>
          <w:color w:val="FF0000"/>
          <w:sz w:val="21"/>
        </w:rPr>
        <w:t xml:space="preserve"> 》，赠 北清领袖基金；</w:t>
      </w:r>
    </w:p>
    <w:p>
      <w:pPr>
        <w:keepNext w:val="0"/>
        <w:keepLines w:val="0"/>
        <w:pageBreakBefore w:val="0"/>
        <w:kinsoku/>
        <w:wordWrap/>
        <w:overflowPunct/>
        <w:topLinePunct w:val="0"/>
        <w:autoSpaceDE/>
        <w:autoSpaceDN/>
        <w:bidi w:val="0"/>
        <w:adjustRightInd/>
        <w:spacing w:line="360" w:lineRule="auto"/>
        <w:jc w:val="center"/>
        <w:textAlignment w:val="auto"/>
        <w:outlineLvl w:val="9"/>
        <w:rPr>
          <w:rFonts w:ascii="仿宋" w:hAnsi="仿宋" w:eastAsia="仿宋" w:cs="微软雅黑"/>
          <w:b/>
          <w:bCs/>
          <w:color w:val="FF0000"/>
          <w:sz w:val="21"/>
        </w:rPr>
      </w:pPr>
      <w:r>
        <w:rPr>
          <w:rFonts w:hint="eastAsia" w:ascii="仿宋" w:hAnsi="仿宋" w:eastAsia="仿宋" w:cs="微软雅黑"/>
          <w:b/>
          <w:bCs/>
          <w:color w:val="FF0000"/>
          <w:sz w:val="21"/>
        </w:rPr>
        <w:t>国内著名投资机构免费为企业战略诊断，推动企业进入资本市场；</w:t>
      </w:r>
    </w:p>
    <w:p>
      <w:pPr>
        <w:keepNext w:val="0"/>
        <w:keepLines w:val="0"/>
        <w:pageBreakBefore w:val="0"/>
        <w:kinsoku/>
        <w:wordWrap/>
        <w:overflowPunct/>
        <w:topLinePunct w:val="0"/>
        <w:autoSpaceDE/>
        <w:autoSpaceDN/>
        <w:bidi w:val="0"/>
        <w:adjustRightInd/>
        <w:spacing w:line="360" w:lineRule="auto"/>
        <w:jc w:val="center"/>
        <w:textAlignment w:val="auto"/>
        <w:outlineLvl w:val="9"/>
        <w:rPr>
          <w:rFonts w:ascii="仿宋" w:hAnsi="仿宋" w:eastAsia="仿宋" w:cs="微软雅黑"/>
          <w:b/>
          <w:bCs/>
          <w:color w:val="FF0000"/>
          <w:sz w:val="21"/>
        </w:rPr>
      </w:pPr>
      <w:r>
        <w:rPr>
          <w:rFonts w:hint="eastAsia" w:ascii="仿宋" w:hAnsi="仿宋" w:eastAsia="仿宋" w:cs="微软雅黑"/>
          <w:b/>
          <w:bCs/>
          <w:color w:val="FF0000"/>
          <w:sz w:val="21"/>
        </w:rPr>
        <w:t>国内独创五大实战落地方案训练班，助力企业产融结合转型升级；</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FF0000"/>
          <w:sz w:val="28"/>
        </w:rPr>
      </w:pPr>
      <w:r>
        <w:rPr>
          <w:rFonts w:hint="eastAsia" w:ascii="微软雅黑" w:hAnsi="微软雅黑" w:eastAsia="微软雅黑"/>
          <w:b/>
          <w:color w:val="FF0000"/>
          <w:sz w:val="28"/>
        </w:rPr>
        <w:t>【项目背景】</w:t>
      </w:r>
    </w:p>
    <w:p>
      <w:pPr>
        <w:keepNext w:val="0"/>
        <w:keepLines w:val="0"/>
        <w:pageBreakBefore w:val="0"/>
        <w:kinsoku/>
        <w:wordWrap/>
        <w:overflowPunct/>
        <w:topLinePunct w:val="0"/>
        <w:autoSpaceDE/>
        <w:autoSpaceDN/>
        <w:bidi w:val="0"/>
        <w:adjustRightInd/>
        <w:spacing w:line="360" w:lineRule="auto"/>
        <w:ind w:firstLine="560"/>
        <w:textAlignment w:val="auto"/>
        <w:outlineLvl w:val="9"/>
        <w:rPr>
          <w:rFonts w:ascii="楷体" w:hAnsi="楷体" w:eastAsia="楷体"/>
        </w:rPr>
      </w:pPr>
      <w:r>
        <w:rPr>
          <w:rFonts w:hint="eastAsia" w:ascii="楷体" w:hAnsi="楷体" w:eastAsia="楷体"/>
        </w:rPr>
        <w:t>全球商业模式创新和跨界颠覆时代已经来临，新商业变革越来越猛烈地冲击着传统商业规则，将传统产业、传统商业模式统统逼向死角！</w:t>
      </w:r>
    </w:p>
    <w:p>
      <w:pPr>
        <w:keepNext w:val="0"/>
        <w:keepLines w:val="0"/>
        <w:pageBreakBefore w:val="0"/>
        <w:kinsoku/>
        <w:wordWrap/>
        <w:overflowPunct/>
        <w:topLinePunct w:val="0"/>
        <w:autoSpaceDE/>
        <w:autoSpaceDN/>
        <w:bidi w:val="0"/>
        <w:adjustRightInd/>
        <w:spacing w:line="360" w:lineRule="auto"/>
        <w:ind w:firstLine="560"/>
        <w:textAlignment w:val="auto"/>
        <w:outlineLvl w:val="9"/>
        <w:rPr>
          <w:rFonts w:ascii="楷体" w:hAnsi="楷体" w:eastAsia="楷体"/>
        </w:rPr>
      </w:pPr>
      <w:r>
        <w:rPr>
          <w:rFonts w:hint="eastAsia" w:ascii="楷体" w:hAnsi="楷体" w:eastAsia="楷体"/>
        </w:rPr>
        <w:t>面对新商业变革的冲击，传统产业如何借助新的商业模式创新转危为机、突围发展？传统企业家又如何借资本与互联网的翅膀，凤凰涅槃、浴火重生？</w:t>
      </w:r>
    </w:p>
    <w:p>
      <w:pPr>
        <w:keepNext w:val="0"/>
        <w:keepLines w:val="0"/>
        <w:pageBreakBefore w:val="0"/>
        <w:kinsoku/>
        <w:wordWrap/>
        <w:overflowPunct/>
        <w:topLinePunct w:val="0"/>
        <w:autoSpaceDE/>
        <w:autoSpaceDN/>
        <w:bidi w:val="0"/>
        <w:adjustRightInd/>
        <w:spacing w:line="360" w:lineRule="auto"/>
        <w:ind w:firstLine="560"/>
        <w:textAlignment w:val="auto"/>
        <w:outlineLvl w:val="9"/>
        <w:rPr>
          <w:rFonts w:ascii="楷体" w:hAnsi="楷体" w:eastAsia="楷体"/>
        </w:rPr>
      </w:pPr>
      <w:r>
        <w:rPr>
          <w:rFonts w:hint="eastAsia" w:ascii="楷体" w:hAnsi="楷体" w:eastAsia="楷体"/>
        </w:rPr>
        <w:t>北清智库商学院因应企业家学员需求，在办好《私募股权》、《金融EMBA》的基础上，携优势资本、红杉资本等全国顶尖教育与资本机构专家资源，创新商业模式，颠覆行业规则，革命性打造以“推动企业进入资本市场，助力企业健康转型升级”为目标的《资本后EMBA董事长高端项目》（简称“资本后E”）。</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rPr>
      </w:pPr>
      <w:r>
        <w:rPr>
          <w:rFonts w:hint="eastAsia" w:ascii="微软雅黑" w:hAnsi="微软雅黑" w:eastAsia="微软雅黑"/>
          <w:b/>
          <w:color w:val="FF0000"/>
          <w:sz w:val="28"/>
        </w:rPr>
        <w:t>【资本后E四大收益</w:t>
      </w:r>
      <w:r>
        <w:rPr>
          <w:rFonts w:ascii="微软雅黑" w:hAnsi="微软雅黑" w:eastAsia="微软雅黑"/>
          <w:b/>
          <w:color w:val="FF0000"/>
          <w:sz w:val="28"/>
        </w:rPr>
        <w:t>】</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b/>
        </w:rPr>
      </w:pPr>
      <w:r>
        <w:rPr>
          <w:rFonts w:hint="eastAsia" w:ascii="楷体" w:hAnsi="楷体" w:eastAsia="楷体"/>
          <w:b/>
          <w:kern w:val="2"/>
        </w:rPr>
        <w:t>一、创新产业商业模式，颠覆教育行业规则：</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kern w:val="2"/>
        </w:rPr>
      </w:pPr>
      <w:r>
        <w:rPr>
          <w:rFonts w:hint="eastAsia" w:ascii="楷体" w:hAnsi="楷体" w:eastAsia="楷体"/>
        </w:rPr>
        <w:t xml:space="preserve">    入班即被赠予10万元私募股权基金原始股期权，三年后可市价转售获利，也可继续持有享受分红；同时获得全球著名的红杉资本、德同资本、中金</w:t>
      </w:r>
      <w:r>
        <w:rPr>
          <w:rFonts w:ascii="楷体" w:hAnsi="楷体" w:eastAsia="楷体"/>
        </w:rPr>
        <w:t>公司</w:t>
      </w:r>
      <w:r>
        <w:rPr>
          <w:rFonts w:hint="eastAsia" w:ascii="楷体" w:hAnsi="楷体" w:eastAsia="楷体"/>
        </w:rPr>
        <w:t>、优势资本等跟投机会；</w:t>
      </w:r>
      <w:r>
        <w:rPr>
          <w:rFonts w:ascii="楷体" w:hAnsi="楷体" w:eastAsia="楷体"/>
        </w:rPr>
        <w:t xml:space="preserve"> </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b/>
        </w:rPr>
      </w:pPr>
      <w:r>
        <w:rPr>
          <w:rFonts w:hint="eastAsia" w:ascii="楷体" w:hAnsi="楷体" w:eastAsia="楷体"/>
          <w:b/>
        </w:rPr>
        <w:t>二、五套落地方案实践，助力企业转型升级：</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楷体" w:hAnsi="楷体" w:eastAsia="楷体"/>
        </w:rPr>
        <w:t xml:space="preserve">    结合学员企业实际情况，由老师授课现场指导，打造“商业模式方案、股权激励方案、市值管理方案、盈利模式方案、投资组合方案”等五大落地方案，指导学员企业转型升级实践；</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b/>
        </w:rPr>
      </w:pPr>
      <w:r>
        <w:rPr>
          <w:rFonts w:hint="eastAsia" w:ascii="楷体" w:hAnsi="楷体" w:eastAsia="楷体"/>
          <w:b/>
        </w:rPr>
        <w:t>三、顶级投资服务团队，以推动学员企业进入资本市场为课程目标：</w:t>
      </w:r>
    </w:p>
    <w:p>
      <w:pPr>
        <w:keepNext w:val="0"/>
        <w:keepLines w:val="0"/>
        <w:pageBreakBefore w:val="0"/>
        <w:kinsoku/>
        <w:wordWrap/>
        <w:overflowPunct/>
        <w:topLinePunct w:val="0"/>
        <w:autoSpaceDE/>
        <w:autoSpaceDN/>
        <w:bidi w:val="0"/>
        <w:adjustRightInd/>
        <w:spacing w:line="360" w:lineRule="auto"/>
        <w:ind w:firstLine="560"/>
        <w:textAlignment w:val="auto"/>
        <w:outlineLvl w:val="9"/>
        <w:rPr>
          <w:rFonts w:ascii="楷体" w:hAnsi="楷体" w:eastAsia="楷体"/>
        </w:rPr>
      </w:pPr>
      <w:r>
        <w:rPr>
          <w:rFonts w:hint="eastAsia" w:ascii="楷体" w:hAnsi="楷体" w:eastAsia="楷体"/>
        </w:rPr>
        <w:t>由北清智库商学院、优势资本、红杉资本等全国顶尖专家组成顶级投资团队，亲自辅导和引领学员企业进入资本市场，实现“产业+资本”飞跃发展；</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b/>
        </w:rPr>
      </w:pPr>
      <w:r>
        <w:rPr>
          <w:rFonts w:hint="eastAsia" w:ascii="楷体" w:hAnsi="楷体" w:eastAsia="楷体"/>
          <w:b/>
        </w:rPr>
        <w:t>四、创新全国资源平台，推动企业集群发展</w:t>
      </w:r>
    </w:p>
    <w:p>
      <w:pPr>
        <w:keepNext w:val="0"/>
        <w:keepLines w:val="0"/>
        <w:pageBreakBefore w:val="0"/>
        <w:kinsoku/>
        <w:wordWrap/>
        <w:overflowPunct/>
        <w:topLinePunct w:val="0"/>
        <w:autoSpaceDE/>
        <w:autoSpaceDN/>
        <w:bidi w:val="0"/>
        <w:adjustRightInd/>
        <w:spacing w:line="360" w:lineRule="auto"/>
        <w:ind w:firstLine="560"/>
        <w:textAlignment w:val="auto"/>
        <w:outlineLvl w:val="9"/>
        <w:rPr>
          <w:rFonts w:ascii="楷体" w:hAnsi="楷体" w:eastAsia="楷体"/>
        </w:rPr>
      </w:pPr>
      <w:r>
        <w:rPr>
          <w:rFonts w:hint="eastAsia" w:ascii="楷体" w:hAnsi="楷体" w:eastAsia="楷体"/>
        </w:rPr>
        <w:t>卓越190商业领袖培育工程，通过全国海选，选拔190名在各领域卓有成绩的企业家，共享万人北清校友圈层，实现资源互补，形成项目池、资金池，打造联动万亿资本的商业航母，推动北清校友集群发展。</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000000" w:themeColor="text1"/>
          <w14:textFill>
            <w14:solidFill>
              <w14:schemeClr w14:val="tx1"/>
            </w14:solidFill>
          </w14:textFill>
        </w:rPr>
      </w:pPr>
      <w:r>
        <w:rPr>
          <w:rFonts w:hint="eastAsia" w:ascii="微软雅黑" w:hAnsi="微软雅黑" w:eastAsia="微软雅黑"/>
          <w:b/>
          <w:color w:val="FF0000"/>
          <w:sz w:val="28"/>
        </w:rPr>
        <w:t>【资本后E平台理念】</w:t>
      </w:r>
    </w:p>
    <w:p>
      <w:pPr>
        <w:keepNext w:val="0"/>
        <w:keepLines w:val="0"/>
        <w:pageBreakBefore w:val="0"/>
        <w:kinsoku/>
        <w:wordWrap/>
        <w:overflowPunct/>
        <w:topLinePunct w:val="0"/>
        <w:autoSpaceDE/>
        <w:autoSpaceDN/>
        <w:bidi w:val="0"/>
        <w:adjustRightInd/>
        <w:spacing w:line="360" w:lineRule="auto"/>
        <w:ind w:firstLine="560"/>
        <w:textAlignment w:val="auto"/>
        <w:outlineLvl w:val="9"/>
        <w:rPr>
          <w:rFonts w:ascii="楷体" w:hAnsi="楷体" w:eastAsia="楷体"/>
        </w:rPr>
      </w:pPr>
      <w:r>
        <w:rPr>
          <w:rFonts w:ascii="微软雅黑" w:hAnsi="微软雅黑" w:eastAsia="微软雅黑"/>
          <w:b/>
          <w:color w:val="000000" w:themeColor="text1"/>
          <w14:textFill>
            <w14:solidFill>
              <w14:schemeClr w14:val="tx1"/>
            </w14:solidFill>
          </w14:textFill>
        </w:rPr>
        <w:drawing>
          <wp:anchor distT="0" distB="0" distL="114300" distR="114300" simplePos="0" relativeHeight="251711488" behindDoc="0" locked="0" layoutInCell="1" allowOverlap="1">
            <wp:simplePos x="0" y="0"/>
            <wp:positionH relativeFrom="column">
              <wp:posOffset>3517265</wp:posOffset>
            </wp:positionH>
            <wp:positionV relativeFrom="paragraph">
              <wp:posOffset>207010</wp:posOffset>
            </wp:positionV>
            <wp:extent cx="2631440" cy="1743075"/>
            <wp:effectExtent l="15875" t="15875" r="76835" b="6985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5" cstate="print">
                      <a:extLst>
                        <a:ext uri="{28A0092B-C50C-407E-A947-70E740481C1C}">
                          <a14:useLocalDpi xmlns:a14="http://schemas.microsoft.com/office/drawing/2010/main" val="0"/>
                        </a:ext>
                      </a:extLst>
                    </a:blip>
                    <a:srcRect l="6023" t="8277" r="7276"/>
                    <a:stretch>
                      <a:fillRect/>
                    </a:stretch>
                  </pic:blipFill>
                  <pic:spPr>
                    <a:xfrm>
                      <a:off x="0" y="0"/>
                      <a:ext cx="2631440" cy="1743075"/>
                    </a:xfrm>
                    <a:prstGeom prst="rect">
                      <a:avLst/>
                    </a:prstGeom>
                    <a:effectLst>
                      <a:outerShdw blurRad="50800" dist="38100" dir="2700000" algn="tl" rotWithShape="0">
                        <a:prstClr val="black">
                          <a:alpha val="40000"/>
                        </a:prstClr>
                      </a:outerShdw>
                    </a:effectLst>
                  </pic:spPr>
                </pic:pic>
              </a:graphicData>
            </a:graphic>
          </wp:anchor>
        </w:drawing>
      </w:r>
      <w:r>
        <w:rPr>
          <w:rFonts w:hint="eastAsia" w:ascii="楷体" w:hAnsi="楷体" w:eastAsia="楷体"/>
        </w:rPr>
        <w:t>资本后EMBA董事长高端项目将形成完整的独立</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楷体" w:hAnsi="楷体" w:eastAsia="楷体"/>
        </w:rPr>
        <w:t>平台模式，率先加入的卓越190商业领袖培育工程的</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楷体" w:hAnsi="楷体" w:eastAsia="楷体"/>
        </w:rPr>
        <w:t>190名学员将共享由优势资本与北清资本共同发起的</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楷体" w:hAnsi="楷体" w:eastAsia="楷体"/>
        </w:rPr>
        <w:t>投资管理公司的20%的股份，资本后E平台所产生的</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楷体" w:hAnsi="楷体" w:eastAsia="楷体"/>
        </w:rPr>
        <w:t>优质项目，投资管理公司将参与辅导、上市、投资等</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楷体" w:hAnsi="楷体" w:eastAsia="楷体"/>
        </w:rPr>
        <w:t>工作，卓越190学员将共享投资管理公司所产生的收</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楷体" w:hAnsi="楷体" w:eastAsia="楷体"/>
        </w:rPr>
        <w:t>益，同时具有平台项目的优先跟投权！</w:t>
      </w: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微软雅黑" w:hAnsi="微软雅黑" w:eastAsia="微软雅黑"/>
          <w:b/>
          <w:color w:val="FF0000"/>
          <w:sz w:val="28"/>
        </w:rPr>
        <w:t>【资本后E平台的价值描述】</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000000" w:themeColor="text1"/>
          <w14:textFill>
            <w14:solidFill>
              <w14:schemeClr w14:val="tx1"/>
            </w14:solidFill>
          </w14:textFill>
        </w:rPr>
      </w:pPr>
      <w:r>
        <w:rPr>
          <w:rFonts w:ascii="微软雅黑" w:hAnsi="微软雅黑" w:eastAsia="微软雅黑"/>
          <w:b/>
          <w:color w:val="000000" w:themeColor="text1"/>
          <w14:textFill>
            <w14:solidFill>
              <w14:schemeClr w14:val="tx1"/>
            </w14:solidFill>
          </w14:textFill>
        </w:rPr>
        <w:drawing>
          <wp:inline distT="0" distB="0" distL="0" distR="0">
            <wp:extent cx="5486400" cy="3012440"/>
            <wp:effectExtent l="15875" t="15875" r="79375" b="768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5486400" cy="301244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kinsoku/>
        <w:wordWrap/>
        <w:overflowPunct/>
        <w:topLinePunct w:val="0"/>
        <w:autoSpaceDE/>
        <w:autoSpaceDN/>
        <w:bidi w:val="0"/>
        <w:adjustRightInd/>
        <w:spacing w:line="360" w:lineRule="auto"/>
        <w:textAlignment w:val="auto"/>
        <w:outlineLvl w:val="9"/>
        <w:rPr>
          <w:rFonts w:hint="eastAsia" w:ascii="微软雅黑" w:hAnsi="微软雅黑" w:eastAsia="微软雅黑"/>
          <w:b/>
          <w:color w:val="FF0000"/>
          <w:sz w:val="28"/>
        </w:rPr>
      </w:pPr>
    </w:p>
    <w:p>
      <w:pPr>
        <w:keepNext w:val="0"/>
        <w:keepLines w:val="0"/>
        <w:pageBreakBefore w:val="0"/>
        <w:kinsoku/>
        <w:wordWrap/>
        <w:overflowPunct/>
        <w:topLinePunct w:val="0"/>
        <w:autoSpaceDE/>
        <w:autoSpaceDN/>
        <w:bidi w:val="0"/>
        <w:adjustRightInd/>
        <w:spacing w:line="360" w:lineRule="auto"/>
        <w:textAlignment w:val="auto"/>
        <w:outlineLvl w:val="9"/>
        <w:rPr>
          <w:rFonts w:hint="eastAsia" w:ascii="微软雅黑" w:hAnsi="微软雅黑" w:eastAsia="微软雅黑"/>
          <w:b/>
          <w:color w:val="FF0000"/>
          <w:sz w:val="28"/>
        </w:rPr>
      </w:pP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000000" w:themeColor="text1"/>
          <w14:textFill>
            <w14:solidFill>
              <w14:schemeClr w14:val="tx1"/>
            </w14:solidFill>
          </w14:textFill>
        </w:rPr>
      </w:pPr>
      <w:r>
        <w:rPr>
          <w:rFonts w:hint="eastAsia" w:ascii="微软雅黑" w:hAnsi="微软雅黑" w:eastAsia="微软雅黑"/>
          <w:b/>
          <w:color w:val="FF0000"/>
          <w:sz w:val="28"/>
        </w:rPr>
        <w:t>【资本服务部分案例】</w:t>
      </w: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r>
        <w:rPr>
          <w:rFonts w:hint="eastAsia" w:ascii="楷体" w:hAnsi="楷体" w:eastAsia="楷体"/>
        </w:rPr>
        <w:t>优势资本旗下联合财富中国金融控股集团，近期已经协助超过</w:t>
      </w:r>
      <w:r>
        <w:rPr>
          <w:rFonts w:hint="eastAsia" w:ascii="微软雅黑" w:hAnsi="微软雅黑" w:eastAsia="微软雅黑"/>
          <w:b/>
          <w:color w:val="FF0000"/>
          <w:sz w:val="28"/>
        </w:rPr>
        <w:t>25</w:t>
      </w:r>
      <w:r>
        <w:rPr>
          <w:rFonts w:hint="eastAsia" w:ascii="楷体" w:hAnsi="楷体" w:eastAsia="楷体"/>
        </w:rPr>
        <w:t>家企业获得私募融资，融资金额累计已经超过</w:t>
      </w:r>
      <w:r>
        <w:rPr>
          <w:rFonts w:hint="eastAsia" w:ascii="微软雅黑" w:hAnsi="微软雅黑" w:eastAsia="微软雅黑"/>
          <w:b/>
          <w:color w:val="FF0000"/>
          <w:sz w:val="28"/>
        </w:rPr>
        <w:t>25</w:t>
      </w:r>
      <w:r>
        <w:rPr>
          <w:rFonts w:hint="eastAsia" w:ascii="楷体" w:hAnsi="楷体" w:eastAsia="楷体"/>
        </w:rPr>
        <w:t>亿人民币。</w:t>
      </w: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hint="eastAsia" w:ascii="楷体" w:hAnsi="楷体" w:eastAsia="楷体"/>
        </w:rPr>
      </w:pPr>
      <w:r>
        <w:rPr>
          <w:rFonts w:hint="eastAsia" w:ascii="楷体" w:hAnsi="楷体" w:eastAsia="楷体"/>
        </w:rPr>
        <w:t>协助超过</w:t>
      </w:r>
      <w:r>
        <w:rPr>
          <w:rFonts w:hint="eastAsia" w:ascii="微软雅黑" w:hAnsi="微软雅黑" w:eastAsia="微软雅黑"/>
          <w:b/>
          <w:color w:val="FF0000"/>
          <w:sz w:val="28"/>
        </w:rPr>
        <w:t>40</w:t>
      </w:r>
      <w:r>
        <w:rPr>
          <w:rFonts w:hint="eastAsia" w:ascii="楷体" w:hAnsi="楷体" w:eastAsia="楷体"/>
        </w:rPr>
        <w:t>家企业在境内外多个主流交易所首发上市，IPO融资金额累计超过</w:t>
      </w:r>
      <w:r>
        <w:rPr>
          <w:rFonts w:hint="eastAsia" w:ascii="微软雅黑" w:hAnsi="微软雅黑" w:eastAsia="微软雅黑"/>
          <w:b/>
          <w:color w:val="FF0000"/>
          <w:sz w:val="28"/>
        </w:rPr>
        <w:t>120</w:t>
      </w:r>
      <w:r>
        <w:rPr>
          <w:rFonts w:hint="eastAsia" w:ascii="楷体" w:hAnsi="楷体" w:eastAsia="楷体"/>
        </w:rPr>
        <w:t>亿人民币，市值过百亿的企业超过10家。</w:t>
      </w: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hint="eastAsia" w:ascii="楷体" w:hAnsi="楷体" w:eastAsia="楷体"/>
        </w:rPr>
      </w:pPr>
      <w:r>
        <w:rPr>
          <w:rFonts w:ascii="楷体" w:hAnsi="楷体" w:eastAsia="楷体"/>
        </w:rPr>
        <w:drawing>
          <wp:anchor distT="0" distB="0" distL="114300" distR="114300" simplePos="0" relativeHeight="251712512" behindDoc="0" locked="0" layoutInCell="1" allowOverlap="1">
            <wp:simplePos x="0" y="0"/>
            <wp:positionH relativeFrom="column">
              <wp:posOffset>-367030</wp:posOffset>
            </wp:positionH>
            <wp:positionV relativeFrom="paragraph">
              <wp:posOffset>52070</wp:posOffset>
            </wp:positionV>
            <wp:extent cx="6348730" cy="3677285"/>
            <wp:effectExtent l="15875" t="15875" r="74295" b="78740"/>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48730" cy="3677285"/>
                    </a:xfrm>
                    <a:prstGeom prst="rect">
                      <a:avLst/>
                    </a:prstGeom>
                    <a:effectLst>
                      <a:outerShdw blurRad="50800" dist="38100" dir="2700000" algn="tl" rotWithShape="0">
                        <a:prstClr val="black">
                          <a:alpha val="40000"/>
                        </a:prstClr>
                      </a:outerShdw>
                    </a:effectLst>
                  </pic:spPr>
                </pic:pic>
              </a:graphicData>
            </a:graphic>
          </wp:anchor>
        </w:drawing>
      </w: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ind w:firstLine="480"/>
        <w:textAlignment w:val="auto"/>
        <w:outlineLvl w:val="9"/>
        <w:rPr>
          <w:rFonts w:ascii="楷体" w:hAnsi="楷体" w:eastAsia="楷体"/>
        </w:rPr>
      </w:pPr>
    </w:p>
    <w:p>
      <w:pPr>
        <w:keepNext w:val="0"/>
        <w:keepLines w:val="0"/>
        <w:pageBreakBefore w:val="0"/>
        <w:kinsoku/>
        <w:wordWrap/>
        <w:overflowPunct/>
        <w:topLinePunct w:val="0"/>
        <w:autoSpaceDE/>
        <w:autoSpaceDN/>
        <w:bidi w:val="0"/>
        <w:adjustRightInd/>
        <w:spacing w:line="360" w:lineRule="auto"/>
        <w:textAlignment w:val="auto"/>
        <w:outlineLvl w:val="9"/>
        <w:rPr>
          <w:rFonts w:ascii="楷体" w:hAnsi="楷体" w:eastAsia="楷体"/>
        </w:rPr>
      </w:pPr>
      <w:r>
        <w:rPr>
          <w:rFonts w:hint="eastAsia" w:ascii="微软雅黑" w:hAnsi="微软雅黑" w:eastAsia="微软雅黑"/>
          <w:b/>
          <w:color w:val="FF0000"/>
          <w:sz w:val="28"/>
        </w:rPr>
        <w:t>【实战课程设置】</w:t>
      </w:r>
    </w:p>
    <w:tbl>
      <w:tblPr>
        <w:tblStyle w:val="10"/>
        <w:tblW w:w="8955" w:type="dxa"/>
        <w:tblInd w:w="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5"/>
        <w:gridCol w:w="4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模块一：战略思维创新与企业转型升级</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模块二：资本与商业模式顶层设计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·战略与并购管理</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·战略与商业模式创新</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·企业战略定位与定位工具</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·企业战略落地实施方案设计</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·市场老三、老四的资本化战略</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·市场老大、老二的资本化战略</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·聚焦战略的资本运营</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·品类战略从“小众市场”转型“大众市场”</w:t>
            </w:r>
            <w:r>
              <w:rPr>
                <w:rFonts w:ascii="宋体" w:hAnsi="宋体" w:eastAsia="宋体"/>
                <w:sz w:val="21"/>
                <w:szCs w:val="21"/>
              </w:rPr>
              <w:t xml:space="preserve">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·符合资本市场的融资模式的设计</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·28项建立强大巴台农神庙的通用战略</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·“特劳特”定位战略如何资本化</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·战略性业务增长的12大支柱</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·从“抠利润”到“做市值”的资本思维</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·从“上市陷阱”到“上市规划”的转型</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·从“对赌风险”到“少数人控制企业”的</w:t>
            </w:r>
            <w:r>
              <w:rPr>
                <w:rFonts w:ascii="宋体" w:hAnsi="宋体" w:eastAsia="宋体"/>
                <w:sz w:val="21"/>
                <w:szCs w:val="21"/>
              </w:rPr>
              <w:t xml:space="preserve"> </w:t>
            </w:r>
            <w:r>
              <w:rPr>
                <w:rFonts w:hint="eastAsia" w:ascii="宋体" w:hAnsi="宋体" w:eastAsia="宋体"/>
                <w:sz w:val="21"/>
                <w:szCs w:val="21"/>
              </w:rPr>
              <w:t xml:space="preserve"> 资本技巧；</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·设计市值管理的商业模式;</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·低成本提升利润的37种模式（商业模式与盈利模式）</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·提升市盈率的21种方法</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·您在哈佛商学院无法学到的七个商业概念</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·亚伯拉罕的93种推荐方案</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·37个价值100万美元的标题</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·137个已经验证的最佳可用版本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模块三：顶级资本模式的设计与实践</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模块四：债权市场与股权市场的应用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·顶级资本模式应用</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·新兴产业的资本模式的创新</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·新资本模式顶层设计的核心思路案例</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·私募股权基金的“募、投、管、退”的策略</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·股权投资如何与资本运营结合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·如何打造市值100亿的上市企业？</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·企业如何拥有产业链的控制权？</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·企业如何设计产融结合的方案</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·并购基金与定向增发的盈利模型</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·资本模式创新与易经的关系</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·基金模式创新与投资机制的设计</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·类金融模式的具体分析</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·对赌协议的应用和签署</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·规避关联交易的方式</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·企业家主要投资误区解读</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·确认投资人（股东）的权力</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·企业境外构架的搭建</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·贷公司无限获取资金的技巧</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·保理公司的经营思路</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·投资业务的新设公司选择</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·妙计规避职务侵占罪</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·避免盲目注册的陷阱</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·规避非法集资的陷阱</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·P2P牌照的应用</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·抱团发展模式</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·债权融资的方法</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·招式用老——期权画饼</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·成功创业者，都是好老公</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·企业隐患——股权均分</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·众筹还是“种”愁</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·抽逃注册资金，要面儿？要里儿？</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·小额投资人如何参与一级证券市场</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·商业银行流水贷怎么做</w:t>
            </w:r>
            <w:r>
              <w:rPr>
                <w:rFonts w:ascii="宋体" w:hAnsi="宋体" w:eastAsia="宋体"/>
                <w:sz w:val="21"/>
                <w:szCs w:val="21"/>
              </w:rPr>
              <w:t xml:space="preserve">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·财富管理公司变身民营银行技巧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模块五：股权激励设计与股权模式创新</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模块六：资本价值导航与企业顶层设计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·股权激励设计与案例分析</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“人聚一定股散”到“股散未必人聚”的后果如何避免</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·如何设计符合“资本价值”的股权激励</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·通过科学的股权激励设计，超越团队执行力，并做到同心同德，不离不弃</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·帮助激发核心员工或经销商对股权的渴望</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·帮助企业在“股散人聚”的时候，长久保持对企业的控制权，经营权</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帮助企业留住核心人才，避免“另立山头”演化成新的竞争对手；</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·帮助企业与投资人对接，做好股权布局，优化股权结构，提前设置好“防火墙”；</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·帮助企业选择管理层持股的最佳模式，满足资本市场的需求；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·帮助企业定人、定价、定时间、定数量、定条件等关键性因素的设置； </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·VC的投资组合与案例分析</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·PE的投资组合实战与案例分析</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·优势资本投资策略与97个案例分析</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·红杉资本、软银塞富、中科招商、IDG等机构的投资策略与案例分析</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·在投资家眼里好企业的五个标准</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·如何设计符合“资本价值”的商业模式</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·资源类企业、农业、大消费、现代服务业、高端制造业、零售连锁业、TMT的哪些产业链值得投资以及案例分析</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·资产多的企业如何计算公司股价？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·轻资产的企业如何计算公司股价？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·无形资产、土地该不该一并计算？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·原价、溢价还是打折、不要钱？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·能不能让员工以业绩来换价格？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·什么价格给出的就什么价格回收，行不？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·如果回购，到时岂不是要大量现金支出？ </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模块七：移动互联网时代的模式与创新设计</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模块八：公司治理结构的创新实践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·移动互联网的思维迭代</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·移动互联网时代的商业模式经典设计</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·帮助企业创新资本模式、成功转型、成功融</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 xml:space="preserve">  资的案例分析</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·董事会治理全球最佳实践——公司治理的中国经验与主要挑战</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·高管薪酬与激励机制</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·CEO的选拔与交接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模块九：游学实践与产业资本论坛</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b/>
                <w:sz w:val="21"/>
                <w:szCs w:val="21"/>
              </w:rPr>
            </w:pPr>
            <w:r>
              <w:rPr>
                <w:rFonts w:hint="eastAsia" w:ascii="宋体" w:hAnsi="宋体" w:eastAsia="宋体"/>
                <w:b/>
                <w:sz w:val="21"/>
                <w:szCs w:val="21"/>
              </w:rPr>
              <w:t>模块十：企业新资本模式实战操练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5"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·游学太平</w:t>
            </w:r>
            <w:r>
              <w:rPr>
                <w:rFonts w:ascii="宋体" w:hAnsi="宋体" w:eastAsia="宋体"/>
                <w:sz w:val="21"/>
                <w:szCs w:val="21"/>
              </w:rPr>
              <w:t>人寿</w:t>
            </w:r>
            <w:r>
              <w:rPr>
                <w:rFonts w:hint="eastAsia" w:ascii="宋体" w:hAnsi="宋体" w:eastAsia="宋体"/>
                <w:sz w:val="21"/>
                <w:szCs w:val="21"/>
              </w:rPr>
              <w:t>，对话总经理张可</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·游学中金公司，对话董事总经理单</w:t>
            </w:r>
            <w:r>
              <w:rPr>
                <w:rFonts w:ascii="宋体" w:hAnsi="宋体" w:eastAsia="宋体"/>
                <w:sz w:val="21"/>
                <w:szCs w:val="21"/>
              </w:rPr>
              <w:t>俊葆</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·游学优势资本，对话董事长吴克忠</w:t>
            </w:r>
          </w:p>
        </w:tc>
        <w:tc>
          <w:tcPr>
            <w:tcW w:w="4410" w:type="dxa"/>
          </w:tcPr>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·企业深度会诊</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·企业项目路演辅导与实战</w:t>
            </w:r>
          </w:p>
          <w:p>
            <w:pPr>
              <w:keepNext w:val="0"/>
              <w:keepLines w:val="0"/>
              <w:pageBreakBefore w:val="0"/>
              <w:kinsoku/>
              <w:wordWrap/>
              <w:overflowPunct/>
              <w:topLinePunct w:val="0"/>
              <w:autoSpaceDE/>
              <w:autoSpaceDN/>
              <w:bidi w:val="0"/>
              <w:adjustRightInd/>
              <w:spacing w:line="360" w:lineRule="auto"/>
              <w:textAlignment w:val="auto"/>
              <w:outlineLvl w:val="9"/>
              <w:rPr>
                <w:rFonts w:ascii="宋体" w:hAnsi="宋体" w:eastAsia="宋体"/>
                <w:sz w:val="21"/>
                <w:szCs w:val="21"/>
              </w:rPr>
            </w:pPr>
            <w:r>
              <w:rPr>
                <w:rFonts w:hint="eastAsia" w:ascii="宋体" w:hAnsi="宋体" w:eastAsia="宋体"/>
                <w:sz w:val="21"/>
                <w:szCs w:val="21"/>
              </w:rPr>
              <w:t>·拟投企业专家随访考察调研</w:t>
            </w:r>
          </w:p>
        </w:tc>
      </w:tr>
    </w:tbl>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FF0000"/>
          <w:sz w:val="28"/>
        </w:rPr>
      </w:pPr>
      <w:r>
        <w:rPr>
          <w:rFonts w:hint="eastAsia" w:ascii="微软雅黑" w:hAnsi="微软雅黑" w:eastAsia="微软雅黑"/>
          <w:b/>
          <w:color w:val="FF0000"/>
          <w:sz w:val="28"/>
        </w:rPr>
        <w:t>【部分授课导师】</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r>
        <w:rPr>
          <w:rFonts w:hint="eastAsia" w:eastAsia="楷体"/>
        </w:rPr>
        <w:t xml:space="preserve">     </w:t>
      </w:r>
      <w:r>
        <w:rPr>
          <w:rFonts w:hint="eastAsia" w:eastAsia="楷体"/>
          <w:lang w:val="en-US" w:eastAsia="zh-CN"/>
        </w:rPr>
        <w:t xml:space="preserve">   </w:t>
      </w:r>
      <w:r>
        <w:rPr>
          <w:rFonts w:hint="eastAsia" w:eastAsia="楷体"/>
        </w:rPr>
        <w:t>授课导师均来自一线投资机构的核心投资人，并且在相关领域取得卓有成绩的实战派专家，学员将得到导师全程指导与专项辅导！</w:t>
      </w:r>
    </w:p>
    <w:p>
      <w:pPr>
        <w:pStyle w:val="12"/>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ascii="Helvetica" w:hAnsi="Helvetica" w:cs="Helvetica"/>
        </w:rPr>
        <w:drawing>
          <wp:anchor distT="0" distB="0" distL="114300" distR="114300" simplePos="0" relativeHeight="251713536" behindDoc="0" locked="0" layoutInCell="1" allowOverlap="1">
            <wp:simplePos x="0" y="0"/>
            <wp:positionH relativeFrom="margin">
              <wp:posOffset>-234315</wp:posOffset>
            </wp:positionH>
            <wp:positionV relativeFrom="paragraph">
              <wp:posOffset>59690</wp:posOffset>
            </wp:positionV>
            <wp:extent cx="1017905" cy="1196340"/>
            <wp:effectExtent l="15875" t="15875" r="71120" b="83185"/>
            <wp:wrapSquare wrapText="bothSides"/>
            <wp:docPr id="118" name="图片 1" descr="微信截图_20160304171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descr="微信截图_20160304171636.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7905" cy="1196340"/>
                    </a:xfrm>
                    <a:prstGeom prst="rect">
                      <a:avLst/>
                    </a:prstGeom>
                    <a:effectLst>
                      <a:outerShdw blurRad="50800" dist="38100" dir="2700000" algn="tl" rotWithShape="0">
                        <a:prstClr val="black">
                          <a:alpha val="40000"/>
                        </a:prstClr>
                      </a:outerShdw>
                    </a:effectLst>
                  </pic:spPr>
                </pic:pic>
              </a:graphicData>
            </a:graphic>
          </wp:anchor>
        </w:drawing>
      </w:r>
      <w:r>
        <w:rPr>
          <w:rFonts w:hint="eastAsia" w:eastAsia="楷体"/>
          <w:b/>
          <w:sz w:val="28"/>
        </w:rPr>
        <w:t xml:space="preserve">授课导师：陈荣  </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r>
        <w:rPr>
          <w:rFonts w:hint="eastAsia" w:eastAsia="楷体"/>
          <w:sz w:val="22"/>
          <w:szCs w:val="22"/>
        </w:rPr>
        <w:t>上海中路股份（600818） 董事长，中路资本   董事长；专业致力于风险投资。已投资300余家创业公司。投资企业在国内外挂牌上市有40余家、尚有一批没有上市的独角兽企业，如神雾集团（120亿人民币）、波奇网（6亿美元）、膜法世家（2.5亿美元）、淡蓝（2.3亿美元）、博科软件（20亿人民币）。天使投资项目（估值在3000万元人民币以下），现在估值超过5亿人民币的项目超过50个</w:t>
      </w:r>
      <w:r>
        <w:rPr>
          <w:rFonts w:hint="eastAsia" w:eastAsia="楷体"/>
          <w:sz w:val="22"/>
          <w:szCs w:val="22"/>
          <w:lang w:eastAsia="zh-CN"/>
        </w:rPr>
        <w:t>。</w:t>
      </w:r>
    </w:p>
    <w:p>
      <w:pPr>
        <w:pStyle w:val="12"/>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b/>
          <w:sz w:val="28"/>
        </w:rPr>
        <w:drawing>
          <wp:anchor distT="0" distB="0" distL="114300" distR="114300" simplePos="0" relativeHeight="251714560" behindDoc="0" locked="0" layoutInCell="1" allowOverlap="1">
            <wp:simplePos x="0" y="0"/>
            <wp:positionH relativeFrom="margin">
              <wp:posOffset>-180340</wp:posOffset>
            </wp:positionH>
            <wp:positionV relativeFrom="paragraph">
              <wp:posOffset>107950</wp:posOffset>
            </wp:positionV>
            <wp:extent cx="945515" cy="1129665"/>
            <wp:effectExtent l="15875" t="15875" r="86360" b="73660"/>
            <wp:wrapSquare wrapText="bothSides"/>
            <wp:docPr id="119" name="图片 1" descr="20140728153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descr="201407281532614.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5515" cy="1129665"/>
                    </a:xfrm>
                    <a:prstGeom prst="rect">
                      <a:avLst/>
                    </a:prstGeom>
                    <a:effectLst>
                      <a:outerShdw blurRad="50800" dist="38100" dir="2700000" algn="tl" rotWithShape="0">
                        <a:prstClr val="black">
                          <a:alpha val="40000"/>
                        </a:prstClr>
                      </a:outerShdw>
                    </a:effectLst>
                  </pic:spPr>
                </pic:pic>
              </a:graphicData>
            </a:graphic>
          </wp:anchor>
        </w:drawing>
      </w:r>
      <w:r>
        <w:rPr>
          <w:rFonts w:hint="eastAsia" w:eastAsia="楷体"/>
          <w:b/>
          <w:sz w:val="28"/>
        </w:rPr>
        <w:t xml:space="preserve">授课导师：吴克忠  </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r>
        <w:rPr>
          <w:rFonts w:hint="eastAsia" w:eastAsia="楷体"/>
          <w:sz w:val="22"/>
          <w:szCs w:val="22"/>
        </w:rPr>
        <w:t>优势资本董事长，财富中国（投资银行）董事长，自1987年先后在高校及政府部门从事教学和经济工作,1992年起在中国证券市场市场建设初期就开始从事证券投资咨询及投资银行工作,1995年起在美国华尔街专业从事风险投资和私募股权投资，于2002年回国，创立了优势资本，曾主导参股投资了数十家包括金融服务，媒体，电信，销售网络，消费产品，新材料等类型的企业。</w:t>
      </w:r>
    </w:p>
    <w:p>
      <w:pPr>
        <w:pStyle w:val="12"/>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asciiTheme="minorHAnsi" w:hAnsiTheme="minorHAnsi" w:cstheme="minorBidi"/>
          <w:b/>
          <w:sz w:val="28"/>
        </w:rPr>
      </w:pPr>
      <w:r>
        <w:rPr>
          <w:rFonts w:eastAsia="楷体"/>
          <w:b/>
          <w:sz w:val="28"/>
        </w:rPr>
        <w:drawing>
          <wp:anchor distT="0" distB="0" distL="114300" distR="114300" simplePos="0" relativeHeight="251729920" behindDoc="0" locked="0" layoutInCell="1" allowOverlap="1">
            <wp:simplePos x="0" y="0"/>
            <wp:positionH relativeFrom="margin">
              <wp:posOffset>-170180</wp:posOffset>
            </wp:positionH>
            <wp:positionV relativeFrom="margin">
              <wp:posOffset>2306955</wp:posOffset>
            </wp:positionV>
            <wp:extent cx="958850" cy="1236980"/>
            <wp:effectExtent l="15875" t="15875" r="73025" b="80645"/>
            <wp:wrapSquare wrapText="bothSides"/>
            <wp:docPr id="2" name="图片 1" descr="74762609284593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7476260928459383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58850" cy="1236980"/>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ascii="宋体" w:hAnsi="宋体" w:cs="宋体"/>
          <w:b/>
          <w:bCs/>
          <w:szCs w:val="21"/>
        </w:rPr>
        <w:t xml:space="preserve">郑翔洲  </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sz w:val="22"/>
          <w:szCs w:val="22"/>
        </w:rPr>
      </w:pPr>
      <w:r>
        <w:rPr>
          <w:rFonts w:hint="eastAsia" w:eastAsia="楷体"/>
          <w:sz w:val="22"/>
          <w:szCs w:val="22"/>
        </w:rPr>
        <w:t>著名商业模式设计专家，资本</w:t>
      </w:r>
      <w:r>
        <w:rPr>
          <w:rFonts w:eastAsia="楷体"/>
          <w:sz w:val="22"/>
          <w:szCs w:val="22"/>
        </w:rPr>
        <w:t>中国培训联盟主席，</w:t>
      </w:r>
      <w:r>
        <w:rPr>
          <w:rFonts w:hint="eastAsia" w:eastAsia="楷体"/>
          <w:sz w:val="22"/>
          <w:szCs w:val="22"/>
        </w:rPr>
        <w:t>优势资本（中国</w:t>
      </w:r>
      <w:r>
        <w:rPr>
          <w:rFonts w:eastAsia="楷体"/>
          <w:sz w:val="22"/>
          <w:szCs w:val="22"/>
        </w:rPr>
        <w:t>基金</w:t>
      </w:r>
      <w:r>
        <w:rPr>
          <w:rFonts w:hint="eastAsia" w:eastAsia="楷体"/>
          <w:sz w:val="22"/>
          <w:szCs w:val="22"/>
        </w:rPr>
        <w:t>）合伙人。北京大学、清华大学最年轻的客座教授，被国内多家商学院学生评为“最受欢迎青年教师”；当当网畅销书《资本与商业模式顶层设计》作者。成功投资电桩股份、罗牛山</w:t>
      </w:r>
      <w:r>
        <w:rPr>
          <w:rFonts w:eastAsia="楷体"/>
          <w:sz w:val="22"/>
          <w:szCs w:val="22"/>
        </w:rPr>
        <w:t>并购</w:t>
      </w:r>
      <w:r>
        <w:rPr>
          <w:rFonts w:hint="eastAsia" w:eastAsia="楷体"/>
          <w:sz w:val="22"/>
          <w:szCs w:val="22"/>
        </w:rPr>
        <w:t>、棒杰股份</w:t>
      </w:r>
      <w:r>
        <w:rPr>
          <w:rFonts w:eastAsia="楷体"/>
          <w:sz w:val="22"/>
          <w:szCs w:val="22"/>
        </w:rPr>
        <w:t>并购</w:t>
      </w:r>
      <w:r>
        <w:rPr>
          <w:rFonts w:hint="eastAsia" w:eastAsia="楷体"/>
          <w:sz w:val="22"/>
          <w:szCs w:val="22"/>
        </w:rPr>
        <w:t>、浙江刷脸、中宇卫浴、越博新能源汽车、八大园林、乐金健康等。</w:t>
      </w:r>
    </w:p>
    <w:p>
      <w:pPr>
        <w:pStyle w:val="12"/>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ascii="Helvetica" w:hAnsi="Helvetica" w:cs="Helvetica"/>
        </w:rPr>
        <w:drawing>
          <wp:anchor distT="0" distB="0" distL="114300" distR="114300" simplePos="0" relativeHeight="251716608" behindDoc="0" locked="0" layoutInCell="1" allowOverlap="1">
            <wp:simplePos x="0" y="0"/>
            <wp:positionH relativeFrom="margin">
              <wp:posOffset>-179070</wp:posOffset>
            </wp:positionH>
            <wp:positionV relativeFrom="paragraph">
              <wp:posOffset>67945</wp:posOffset>
            </wp:positionV>
            <wp:extent cx="962025" cy="1198245"/>
            <wp:effectExtent l="15875" t="15875" r="69850" b="81280"/>
            <wp:wrapSquare wrapText="bothSides"/>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11" cstate="print">
                      <a:extLst>
                        <a:ext uri="{28A0092B-C50C-407E-A947-70E740481C1C}">
                          <a14:useLocalDpi xmlns:a14="http://schemas.microsoft.com/office/drawing/2010/main" val="0"/>
                        </a:ext>
                      </a:extLst>
                    </a:blip>
                    <a:srcRect b="16912"/>
                    <a:stretch>
                      <a:fillRect/>
                    </a:stretch>
                  </pic:blipFill>
                  <pic:spPr>
                    <a:xfrm flipH="1">
                      <a:off x="0" y="0"/>
                      <a:ext cx="962025" cy="119824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ascii="宋体" w:hAnsi="宋体" w:cs="宋体"/>
          <w:b/>
          <w:bCs/>
          <w:szCs w:val="21"/>
        </w:rPr>
        <w:t xml:space="preserve">王  芩  </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sz w:val="22"/>
          <w:szCs w:val="22"/>
        </w:rPr>
      </w:pPr>
      <w:r>
        <w:rPr>
          <w:rFonts w:hint="eastAsia" w:eastAsia="楷体"/>
          <w:sz w:val="22"/>
          <w:szCs w:val="22"/>
        </w:rPr>
        <w:t>资本实战专家，红杉资本（中国基金）合伙人；专注大消费领域投资，主导并参与了韩后化妆品集团、好彩头食品饮料集团、周黑鸭食品连锁集团、慈铭体检连锁集团，伊美尔医疗美容连锁集团、曼卡龙珠宝连锁集团，福奈特洗衣连锁集团、德州扒鸡连锁集团、八马茶叶连锁集团等项目直接投资。</w:t>
      </w:r>
    </w:p>
    <w:p>
      <w:pPr>
        <w:pStyle w:val="12"/>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asciiTheme="minorHAnsi" w:hAnsiTheme="minorHAnsi" w:cstheme="minorBidi"/>
          <w:b/>
          <w:sz w:val="28"/>
        </w:rPr>
      </w:pPr>
      <w:r>
        <w:rPr>
          <w:rFonts w:ascii="Helvetica" w:hAnsi="Helvetica" w:cs="Helvetica"/>
        </w:rPr>
        <w:drawing>
          <wp:anchor distT="0" distB="0" distL="114300" distR="114300" simplePos="0" relativeHeight="251717632" behindDoc="0" locked="0" layoutInCell="1" allowOverlap="1">
            <wp:simplePos x="0" y="0"/>
            <wp:positionH relativeFrom="margin">
              <wp:posOffset>-163195</wp:posOffset>
            </wp:positionH>
            <wp:positionV relativeFrom="paragraph">
              <wp:posOffset>66675</wp:posOffset>
            </wp:positionV>
            <wp:extent cx="960755" cy="1160780"/>
            <wp:effectExtent l="15875" t="15875" r="71120" b="80645"/>
            <wp:wrapSquare wrapText="bothSides"/>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2">
                      <a:extLst>
                        <a:ext uri="{28A0092B-C50C-407E-A947-70E740481C1C}">
                          <a14:useLocalDpi xmlns:a14="http://schemas.microsoft.com/office/drawing/2010/main" val="0"/>
                        </a:ext>
                      </a:extLst>
                    </a:blip>
                    <a:srcRect l="10076" r="26346"/>
                    <a:stretch>
                      <a:fillRect/>
                    </a:stretch>
                  </pic:blipFill>
                  <pic:spPr>
                    <a:xfrm>
                      <a:off x="0" y="0"/>
                      <a:ext cx="960755" cy="1160780"/>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ascii="宋体" w:hAnsi="宋体" w:cs="宋体"/>
          <w:b/>
          <w:bCs/>
          <w:szCs w:val="21"/>
        </w:rPr>
        <w:t xml:space="preserve">陆  豪  </w:t>
      </w:r>
    </w:p>
    <w:p>
      <w:pPr>
        <w:pStyle w:val="12"/>
        <w:keepNext w:val="0"/>
        <w:keepLines w:val="0"/>
        <w:pageBreakBefore w:val="0"/>
        <w:kinsoku/>
        <w:wordWrap/>
        <w:overflowPunct/>
        <w:topLinePunct w:val="0"/>
        <w:autoSpaceDE/>
        <w:autoSpaceDN/>
        <w:bidi w:val="0"/>
        <w:adjustRightInd/>
        <w:spacing w:line="360" w:lineRule="auto"/>
        <w:ind w:left="284" w:firstLine="0" w:firstLineChars="0"/>
        <w:textAlignment w:val="auto"/>
        <w:outlineLvl w:val="9"/>
        <w:rPr>
          <w:rFonts w:eastAsia="楷体"/>
          <w:b/>
          <w:sz w:val="24"/>
          <w:szCs w:val="22"/>
        </w:rPr>
      </w:pPr>
      <w:r>
        <w:rPr>
          <w:rFonts w:hint="eastAsia" w:eastAsia="楷体"/>
          <w:sz w:val="22"/>
          <w:szCs w:val="22"/>
        </w:rPr>
        <w:t>资本实战专家，软银赛富（亚洲基金）合伙人身兼数十家公司董事长职务，业务涉及风险投资、产权经纪、创投管理、商务咨询、酒店管理、高科技、食品等多元产业；曾先后成功实施了复旦张江香港IPO；豫园、浦东科创、环球网络、国通电讯、新华出版等多家企业的并购与重组。</w:t>
      </w:r>
    </w:p>
    <w:p>
      <w:pPr>
        <w:pStyle w:val="12"/>
        <w:keepNext w:val="0"/>
        <w:keepLines w:val="0"/>
        <w:pageBreakBefore w:val="0"/>
        <w:numPr>
          <w:ilvl w:val="0"/>
          <w:numId w:val="2"/>
        </w:numPr>
        <w:kinsoku/>
        <w:wordWrap/>
        <w:overflowPunct/>
        <w:topLinePunct w:val="0"/>
        <w:autoSpaceDE/>
        <w:autoSpaceDN/>
        <w:bidi w:val="0"/>
        <w:adjustRightInd/>
        <w:spacing w:line="360" w:lineRule="auto"/>
        <w:ind w:firstLineChars="0"/>
        <w:textAlignment w:val="auto"/>
        <w:outlineLvl w:val="9"/>
        <w:rPr>
          <w:rFonts w:ascii="宋体" w:hAnsi="宋体" w:cs="宋体"/>
          <w:b/>
          <w:bCs/>
          <w:szCs w:val="21"/>
        </w:rPr>
      </w:pPr>
      <w:r>
        <w:drawing>
          <wp:anchor distT="0" distB="0" distL="114300" distR="114300" simplePos="0" relativeHeight="251718656" behindDoc="0" locked="0" layoutInCell="1" allowOverlap="1">
            <wp:simplePos x="0" y="0"/>
            <wp:positionH relativeFrom="margin">
              <wp:posOffset>-187960</wp:posOffset>
            </wp:positionH>
            <wp:positionV relativeFrom="paragraph">
              <wp:posOffset>71755</wp:posOffset>
            </wp:positionV>
            <wp:extent cx="974725" cy="1188085"/>
            <wp:effectExtent l="15875" t="15875" r="76200" b="72390"/>
            <wp:wrapSquare wrapText="bothSides"/>
            <wp:docPr id="123" name="图片 18" descr="微信截图_20151118142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 descr="微信截图_2015111814210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74725" cy="118808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ascii="宋体" w:hAnsi="宋体" w:cs="宋体"/>
          <w:b/>
          <w:bCs/>
          <w:szCs w:val="21"/>
        </w:rPr>
        <w:t xml:space="preserve">龙平敬 </w:t>
      </w:r>
    </w:p>
    <w:p>
      <w:pPr>
        <w:pStyle w:val="12"/>
        <w:keepNext w:val="0"/>
        <w:keepLines w:val="0"/>
        <w:pageBreakBefore w:val="0"/>
        <w:kinsoku/>
        <w:wordWrap/>
        <w:overflowPunct/>
        <w:topLinePunct w:val="0"/>
        <w:autoSpaceDE/>
        <w:autoSpaceDN/>
        <w:bidi w:val="0"/>
        <w:adjustRightInd/>
        <w:spacing w:line="360" w:lineRule="auto"/>
        <w:ind w:left="284" w:firstLine="0" w:firstLineChars="0"/>
        <w:textAlignment w:val="auto"/>
        <w:outlineLvl w:val="9"/>
        <w:rPr>
          <w:rFonts w:eastAsia="楷体"/>
        </w:rPr>
      </w:pPr>
      <w:r>
        <w:rPr>
          <w:rFonts w:hint="eastAsia" w:eastAsia="楷体"/>
          <w:sz w:val="22"/>
          <w:szCs w:val="22"/>
        </w:rPr>
        <w:t>商业模式与互联网+实战专家，财富中国金融控股公司董事总经理；连锁经营实战专家；商界孵化中心首席顾问；高级管理顾问；浙江赛兔羊绒总顾问；北京金羽杰羽绒服营销顾问；上海嘉容记执行董事。</w:t>
      </w:r>
    </w:p>
    <w:p>
      <w:pPr>
        <w:pStyle w:val="12"/>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ascii="Helvetica" w:hAnsi="Helvetica" w:cs="Helvetica"/>
        </w:rPr>
        <w:drawing>
          <wp:anchor distT="0" distB="0" distL="114300" distR="114300" simplePos="0" relativeHeight="251719680" behindDoc="0" locked="0" layoutInCell="1" allowOverlap="1">
            <wp:simplePos x="0" y="0"/>
            <wp:positionH relativeFrom="margin">
              <wp:posOffset>-181610</wp:posOffset>
            </wp:positionH>
            <wp:positionV relativeFrom="paragraph">
              <wp:posOffset>57785</wp:posOffset>
            </wp:positionV>
            <wp:extent cx="964565" cy="1208405"/>
            <wp:effectExtent l="15875" t="15875" r="86360" b="71120"/>
            <wp:wrapSquare wrapText="bothSides"/>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64565" cy="120840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ascii="宋体" w:hAnsi="宋体" w:cs="宋体"/>
          <w:b/>
          <w:bCs/>
          <w:szCs w:val="21"/>
        </w:rPr>
        <w:t>单俊葆</w:t>
      </w:r>
      <w:r>
        <w:rPr>
          <w:rFonts w:hint="eastAsia" w:eastAsia="楷体"/>
          <w:b/>
          <w:sz w:val="28"/>
        </w:rPr>
        <w:t xml:space="preserve">  </w:t>
      </w:r>
    </w:p>
    <w:p>
      <w:pPr>
        <w:pStyle w:val="12"/>
        <w:keepNext w:val="0"/>
        <w:keepLines w:val="0"/>
        <w:pageBreakBefore w:val="0"/>
        <w:kinsoku/>
        <w:wordWrap/>
        <w:overflowPunct/>
        <w:topLinePunct w:val="0"/>
        <w:autoSpaceDE/>
        <w:autoSpaceDN/>
        <w:bidi w:val="0"/>
        <w:adjustRightInd/>
        <w:spacing w:line="360" w:lineRule="auto"/>
        <w:ind w:left="284" w:firstLine="0" w:firstLineChars="0"/>
        <w:textAlignment w:val="auto"/>
        <w:outlineLvl w:val="9"/>
        <w:rPr>
          <w:rFonts w:eastAsia="楷体"/>
          <w:sz w:val="22"/>
          <w:szCs w:val="22"/>
        </w:rPr>
      </w:pPr>
      <w:r>
        <w:rPr>
          <w:rFonts w:hint="eastAsia" w:eastAsia="楷体"/>
          <w:sz w:val="22"/>
          <w:szCs w:val="22"/>
        </w:rPr>
        <w:t>中国国际金融股份有限公司  董事总经理，拥有11年投资银行经验和6年证券监管经验。加入中金公司后，先后参与并负责过金融、电信、能源、交通、医药、房地产、媒体、互联网等行业十余家大型国企集团、三家红筹公司及六家民营企业的重组改制、H股、A股发行上市、私募股权融资、债券融资、资产证券化、收购兼并等工作。</w:t>
      </w:r>
    </w:p>
    <w:p>
      <w:pPr>
        <w:pStyle w:val="12"/>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b/>
          <w:sz w:val="28"/>
        </w:rPr>
        <w:drawing>
          <wp:anchor distT="0" distB="0" distL="114300" distR="114300" simplePos="0" relativeHeight="251730944" behindDoc="0" locked="0" layoutInCell="1" allowOverlap="1">
            <wp:simplePos x="0" y="0"/>
            <wp:positionH relativeFrom="margin">
              <wp:posOffset>-175895</wp:posOffset>
            </wp:positionH>
            <wp:positionV relativeFrom="margin">
              <wp:posOffset>1793240</wp:posOffset>
            </wp:positionV>
            <wp:extent cx="951230" cy="1268730"/>
            <wp:effectExtent l="15875" t="15875" r="80645" b="86995"/>
            <wp:wrapSquare wrapText="bothSides"/>
            <wp:docPr id="4" name="图片 1" descr="SJJ%(E@POB0`M4GQ[1GX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SJJ%(E@POB0`M4GQ[1GX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flipH="1">
                      <a:off x="0" y="0"/>
                      <a:ext cx="951230" cy="1268730"/>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 xml:space="preserve">授课导师：赵胜  </w:t>
      </w:r>
    </w:p>
    <w:p>
      <w:pPr>
        <w:keepNext w:val="0"/>
        <w:keepLines w:val="0"/>
        <w:pageBreakBefore w:val="0"/>
        <w:kinsoku/>
        <w:wordWrap/>
        <w:overflowPunct/>
        <w:topLinePunct w:val="0"/>
        <w:autoSpaceDE/>
        <w:autoSpaceDN/>
        <w:bidi w:val="0"/>
        <w:adjustRightInd/>
        <w:spacing w:line="360" w:lineRule="auto"/>
        <w:textAlignment w:val="auto"/>
        <w:outlineLvl w:val="9"/>
        <w:rPr>
          <w:rFonts w:hint="eastAsia" w:eastAsia="楷体"/>
          <w:sz w:val="22"/>
          <w:szCs w:val="22"/>
        </w:rPr>
      </w:pPr>
      <w:r>
        <w:rPr>
          <w:rFonts w:hint="eastAsia" w:eastAsia="楷体"/>
          <w:b/>
          <w:bCs/>
          <w:sz w:val="22"/>
          <w:szCs w:val="22"/>
        </w:rPr>
        <w:t>深圳华制国际（工业4.0）创始人，优势资本（美国基金）合伙人，</w:t>
      </w:r>
      <w:r>
        <w:rPr>
          <w:rFonts w:hint="eastAsia" w:eastAsia="楷体"/>
          <w:sz w:val="22"/>
          <w:szCs w:val="22"/>
        </w:rPr>
        <w:t>工业4.0投资家、硅谷、以色列创客资本创始人，北大、清华、复旦、交大等名校兼职教授，吉林省人民政府顾问，京东商城《工业4.0》畅销书作者；既有国际投资经验，又有国内投资经验；将国外先进技术与国内优质的市场结合，创造了技术资本与市场资本相结合，帮助大量的以色列企业到美国IPO上市。</w:t>
      </w:r>
    </w:p>
    <w:p>
      <w:pPr>
        <w:pStyle w:val="12"/>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b/>
          <w:sz w:val="28"/>
        </w:rPr>
        <w:drawing>
          <wp:anchor distT="0" distB="0" distL="114300" distR="114300" simplePos="0" relativeHeight="251731968" behindDoc="0" locked="0" layoutInCell="1" allowOverlap="1">
            <wp:simplePos x="0" y="0"/>
            <wp:positionH relativeFrom="margin">
              <wp:posOffset>-222885</wp:posOffset>
            </wp:positionH>
            <wp:positionV relativeFrom="margin">
              <wp:posOffset>3750945</wp:posOffset>
            </wp:positionV>
            <wp:extent cx="1016000" cy="1190625"/>
            <wp:effectExtent l="15875" t="15875" r="73025" b="69850"/>
            <wp:wrapSquare wrapText="bothSides"/>
            <wp:docPr id="5" name="图片 11" descr="0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07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flipH="1">
                      <a:off x="0" y="0"/>
                      <a:ext cx="1016000" cy="119062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授课导师：薛蛮子</w:t>
      </w:r>
      <w:r>
        <w:rPr>
          <w:rFonts w:eastAsia="楷体"/>
          <w:b/>
          <w:sz w:val="28"/>
        </w:rPr>
        <w:t xml:space="preserve"> </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sz w:val="22"/>
          <w:szCs w:val="22"/>
        </w:rPr>
      </w:pPr>
      <w:r>
        <w:rPr>
          <w:rFonts w:hint="eastAsia" w:eastAsia="楷体"/>
          <w:sz w:val="22"/>
          <w:szCs w:val="22"/>
        </w:rPr>
        <w:t>著名天使投资人，曾是知名上市企业的创始人，同时也是更多知名企业的投资人，他十几年前就是华尔街知名的华人投资家，数十年成功的企业运营经验和投资经历，让他成为业内公认的老前辈。 UT斯达康创始人之一，他投资过的项目包括PCPOP、李想的汽车之家、方三文的雪球财经以及杜子健的华艺百创等公司。</w:t>
      </w:r>
    </w:p>
    <w:p>
      <w:pPr>
        <w:pStyle w:val="12"/>
        <w:keepNext w:val="0"/>
        <w:keepLines w:val="0"/>
        <w:pageBreakBefore w:val="0"/>
        <w:widowControl w:val="0"/>
        <w:numPr>
          <w:ilvl w:val="0"/>
          <w:numId w:val="1"/>
        </w:numPr>
        <w:kinsoku/>
        <w:wordWrap/>
        <w:overflowPunct/>
        <w:topLinePunct w:val="0"/>
        <w:autoSpaceDE/>
        <w:autoSpaceDN/>
        <w:bidi w:val="0"/>
        <w:adjustRightInd/>
        <w:spacing w:line="360" w:lineRule="auto"/>
        <w:ind w:left="284" w:hanging="284" w:firstLineChars="0"/>
        <w:jc w:val="both"/>
        <w:textAlignment w:val="auto"/>
        <w:outlineLvl w:val="9"/>
        <w:rPr>
          <w:rFonts w:eastAsia="楷体"/>
          <w:b/>
          <w:sz w:val="28"/>
        </w:rPr>
      </w:pPr>
      <w:r>
        <w:rPr>
          <w:rFonts w:ascii="Helvetica" w:hAnsi="Helvetica" w:cs="Helvetica"/>
        </w:rPr>
        <w:drawing>
          <wp:anchor distT="0" distB="0" distL="114300" distR="114300" simplePos="0" relativeHeight="251732992" behindDoc="0" locked="0" layoutInCell="1" allowOverlap="1">
            <wp:simplePos x="0" y="0"/>
            <wp:positionH relativeFrom="margin">
              <wp:posOffset>-191135</wp:posOffset>
            </wp:positionH>
            <wp:positionV relativeFrom="margin">
              <wp:posOffset>5430520</wp:posOffset>
            </wp:positionV>
            <wp:extent cx="930910" cy="1287780"/>
            <wp:effectExtent l="15875" t="15875" r="81915" b="8699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b="9182"/>
                    <a:stretch>
                      <a:fillRect/>
                    </a:stretch>
                  </pic:blipFill>
                  <pic:spPr>
                    <a:xfrm flipH="1">
                      <a:off x="0" y="0"/>
                      <a:ext cx="930910" cy="1287780"/>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授课导师：阚治东</w:t>
      </w:r>
      <w:r>
        <w:rPr>
          <w:rFonts w:eastAsia="楷体"/>
          <w:b/>
          <w:sz w:val="28"/>
        </w:rPr>
        <w:t xml:space="preserve"> </w:t>
      </w:r>
      <w:r>
        <w:rPr>
          <w:rFonts w:hint="eastAsia" w:eastAsia="楷体"/>
          <w:b/>
          <w:sz w:val="28"/>
        </w:rPr>
        <w:t xml:space="preserve"> </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r>
        <w:rPr>
          <w:rFonts w:eastAsia="楷体"/>
          <w:b/>
          <w:sz w:val="28"/>
        </w:rPr>
        <w:drawing>
          <wp:anchor distT="0" distB="0" distL="114300" distR="114300" simplePos="0" relativeHeight="251734016" behindDoc="0" locked="0" layoutInCell="1" allowOverlap="1">
            <wp:simplePos x="0" y="0"/>
            <wp:positionH relativeFrom="margin">
              <wp:posOffset>-203200</wp:posOffset>
            </wp:positionH>
            <wp:positionV relativeFrom="margin">
              <wp:posOffset>7307580</wp:posOffset>
            </wp:positionV>
            <wp:extent cx="930910" cy="1195070"/>
            <wp:effectExtent l="15875" t="15875" r="81915" b="84455"/>
            <wp:wrapSquare wrapText="bothSides"/>
            <wp:docPr id="9" name="图片 1" descr="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9.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0910" cy="1195070"/>
                    </a:xfrm>
                    <a:prstGeom prst="rect">
                      <a:avLst/>
                    </a:prstGeom>
                    <a:effectLst>
                      <a:outerShdw blurRad="50800" dist="38100" dir="2700000" algn="tl" rotWithShape="0">
                        <a:prstClr val="black">
                          <a:alpha val="40000"/>
                        </a:prstClr>
                      </a:outerShdw>
                    </a:effectLst>
                  </pic:spPr>
                </pic:pic>
              </a:graphicData>
            </a:graphic>
          </wp:anchor>
        </w:drawing>
      </w:r>
      <w:r>
        <w:rPr>
          <w:rFonts w:hint="eastAsia" w:eastAsia="楷体"/>
          <w:sz w:val="22"/>
          <w:szCs w:val="22"/>
        </w:rPr>
        <w:t>东方汇富创投  总裁，1990年，创立申银证券公司，并担任总裁、法人代表，后将万国证券合并，任申银万国证券公司总裁，法人代表。阚治东先生领导团队创造了许多中国证券金融领域的“第一”，包括：第一个A股发行，第一个A股、H股同时发行，第一个B股发行，第一个证券营业部，第一个股票指数，第一个证券研究所，主持了中国证券行业第一起兼并收购等。</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p>
    <w:p>
      <w:pPr>
        <w:pStyle w:val="12"/>
        <w:keepNext w:val="0"/>
        <w:keepLines w:val="0"/>
        <w:pageBreakBefore w:val="0"/>
        <w:widowControl w:val="0"/>
        <w:numPr>
          <w:ilvl w:val="0"/>
          <w:numId w:val="1"/>
        </w:numPr>
        <w:kinsoku/>
        <w:wordWrap/>
        <w:overflowPunct/>
        <w:topLinePunct w:val="0"/>
        <w:autoSpaceDE/>
        <w:autoSpaceDN/>
        <w:bidi w:val="0"/>
        <w:adjustRightInd/>
        <w:spacing w:line="360" w:lineRule="auto"/>
        <w:ind w:left="284" w:hanging="284" w:firstLineChars="0"/>
        <w:jc w:val="both"/>
        <w:textAlignment w:val="auto"/>
        <w:outlineLvl w:val="9"/>
        <w:rPr>
          <w:rFonts w:eastAsia="楷体"/>
          <w:b/>
          <w:sz w:val="28"/>
        </w:rPr>
      </w:pPr>
      <w:r>
        <w:rPr>
          <w:rFonts w:hint="eastAsia" w:eastAsia="楷体"/>
          <w:b/>
          <w:sz w:val="28"/>
        </w:rPr>
        <w:t>授课导师：</w:t>
      </w:r>
      <w:r>
        <w:rPr>
          <w:rFonts w:hint="eastAsia" w:eastAsia="楷体"/>
          <w:b/>
          <w:bCs/>
          <w:sz w:val="28"/>
        </w:rPr>
        <w:t>周子雄</w:t>
      </w:r>
      <w:r>
        <w:rPr>
          <w:rFonts w:eastAsia="楷体"/>
          <w:b/>
          <w:sz w:val="28"/>
        </w:rPr>
        <w:t xml:space="preserve"> </w:t>
      </w:r>
      <w:r>
        <w:rPr>
          <w:rFonts w:hint="eastAsia" w:eastAsia="楷体"/>
          <w:b/>
          <w:sz w:val="28"/>
        </w:rPr>
        <w:t xml:space="preserve"> </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outlineLvl w:val="9"/>
        <w:rPr>
          <w:rFonts w:eastAsia="楷体"/>
          <w:sz w:val="22"/>
          <w:szCs w:val="22"/>
        </w:rPr>
      </w:pPr>
      <w:r>
        <w:rPr>
          <w:rFonts w:hint="eastAsia" w:eastAsia="楷体"/>
          <w:sz w:val="22"/>
          <w:szCs w:val="22"/>
        </w:rPr>
        <w:t>巴爷科技上海有限公司董事长。他依据自身独特的风投思维与经验，创造了“互联网思维</w:t>
      </w:r>
      <w:r>
        <w:rPr>
          <w:rFonts w:eastAsia="楷体"/>
          <w:sz w:val="22"/>
          <w:szCs w:val="22"/>
        </w:rPr>
        <w:t>+</w:t>
      </w:r>
      <w:r>
        <w:rPr>
          <w:rFonts w:hint="eastAsia" w:eastAsia="楷体"/>
          <w:sz w:val="22"/>
          <w:szCs w:val="22"/>
        </w:rPr>
        <w:t>新农业</w:t>
      </w:r>
      <w:r>
        <w:rPr>
          <w:rFonts w:eastAsia="楷体"/>
          <w:sz w:val="22"/>
          <w:szCs w:val="22"/>
        </w:rPr>
        <w:t>+</w:t>
      </w:r>
      <w:r>
        <w:rPr>
          <w:rFonts w:hint="eastAsia" w:eastAsia="楷体"/>
          <w:sz w:val="22"/>
          <w:szCs w:val="22"/>
        </w:rPr>
        <w:t>资本思维”的新商业模式，巴爷科技致力于以“互联网</w:t>
      </w:r>
      <w:r>
        <w:rPr>
          <w:rFonts w:eastAsia="楷体"/>
          <w:sz w:val="22"/>
          <w:szCs w:val="22"/>
        </w:rPr>
        <w:t>+”</w:t>
      </w:r>
      <w:r>
        <w:rPr>
          <w:rFonts w:hint="eastAsia" w:eastAsia="楷体"/>
          <w:sz w:val="22"/>
          <w:szCs w:val="22"/>
        </w:rPr>
        <w:t>的方式整合传统行业，通过资源碎片化的形式，进行资源、产品再分配，以此推动传统行业进行颠覆性的转型。</w:t>
      </w:r>
    </w:p>
    <w:p>
      <w:pPr>
        <w:pStyle w:val="12"/>
        <w:keepNext w:val="0"/>
        <w:keepLines w:val="0"/>
        <w:pageBreakBefore w:val="0"/>
        <w:widowControl w:val="0"/>
        <w:numPr>
          <w:ilvl w:val="0"/>
          <w:numId w:val="1"/>
        </w:numPr>
        <w:kinsoku/>
        <w:wordWrap/>
        <w:overflowPunct/>
        <w:topLinePunct w:val="0"/>
        <w:autoSpaceDE/>
        <w:autoSpaceDN/>
        <w:bidi w:val="0"/>
        <w:adjustRightInd/>
        <w:spacing w:line="360" w:lineRule="auto"/>
        <w:ind w:left="284" w:hanging="284" w:firstLineChars="0"/>
        <w:jc w:val="both"/>
        <w:textAlignment w:val="auto"/>
        <w:outlineLvl w:val="9"/>
        <w:rPr>
          <w:rFonts w:eastAsia="楷体"/>
          <w:b/>
          <w:sz w:val="28"/>
        </w:rPr>
      </w:pPr>
      <w:r>
        <w:rPr>
          <w:rFonts w:eastAsia="楷体"/>
          <w:b/>
          <w:sz w:val="28"/>
        </w:rPr>
        <w:drawing>
          <wp:anchor distT="0" distB="0" distL="114300" distR="114300" simplePos="0" relativeHeight="251735040" behindDoc="0" locked="0" layoutInCell="1" allowOverlap="1">
            <wp:simplePos x="0" y="0"/>
            <wp:positionH relativeFrom="margin">
              <wp:posOffset>-236220</wp:posOffset>
            </wp:positionH>
            <wp:positionV relativeFrom="margin">
              <wp:posOffset>612775</wp:posOffset>
            </wp:positionV>
            <wp:extent cx="939165" cy="1216025"/>
            <wp:effectExtent l="15875" t="15875" r="73660" b="82550"/>
            <wp:wrapSquare wrapText="bothSides"/>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39165" cy="121602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eastAsia="楷体"/>
          <w:b/>
          <w:bCs/>
          <w:sz w:val="28"/>
        </w:rPr>
        <w:t>马建伟</w:t>
      </w:r>
      <w:r>
        <w:rPr>
          <w:rFonts w:eastAsia="楷体"/>
          <w:b/>
          <w:sz w:val="28"/>
        </w:rPr>
        <w:t xml:space="preserve"> </w:t>
      </w:r>
      <w:r>
        <w:rPr>
          <w:rFonts w:hint="eastAsia" w:eastAsia="楷体"/>
          <w:b/>
          <w:sz w:val="28"/>
        </w:rPr>
        <w:t xml:space="preserve"> </w:t>
      </w:r>
    </w:p>
    <w:p>
      <w:pPr>
        <w:keepNext w:val="0"/>
        <w:keepLines w:val="0"/>
        <w:pageBreakBefore w:val="0"/>
        <w:tabs>
          <w:tab w:val="left" w:pos="847"/>
        </w:tabs>
        <w:kinsoku/>
        <w:wordWrap/>
        <w:overflowPunct/>
        <w:topLinePunct w:val="0"/>
        <w:autoSpaceDE/>
        <w:autoSpaceDN/>
        <w:bidi w:val="0"/>
        <w:adjustRightInd/>
        <w:spacing w:line="360" w:lineRule="auto"/>
        <w:textAlignment w:val="auto"/>
        <w:outlineLvl w:val="9"/>
        <w:rPr>
          <w:rFonts w:eastAsia="楷体"/>
          <w:sz w:val="22"/>
          <w:szCs w:val="22"/>
        </w:rPr>
      </w:pPr>
      <w:r>
        <w:rPr>
          <w:rFonts w:hint="eastAsia" w:eastAsia="楷体"/>
          <w:sz w:val="22"/>
          <w:szCs w:val="22"/>
        </w:rPr>
        <w:t>优势资本 （江苏）合伙人，主导优势资本江苏基金、优势时代新三板基金、优财中基金，投资项目包括江苏久信（002421收购）、江苏艾科（002077收购）、曼荼罗（835005）、越博动力系统股份、金石机器人（839127）、确成硅化（833656）、爱尚鲜花（836638）、摩邑诚、优蜜移动（834156）等项目，并任多家公司董事、监事。基金整体回报超过6倍。</w:t>
      </w:r>
    </w:p>
    <w:p>
      <w:pPr>
        <w:pStyle w:val="12"/>
        <w:keepNext w:val="0"/>
        <w:keepLines w:val="0"/>
        <w:pageBreakBefore w:val="0"/>
        <w:numPr>
          <w:ilvl w:val="0"/>
          <w:numId w:val="3"/>
        </w:numPr>
        <w:kinsoku/>
        <w:wordWrap/>
        <w:overflowPunct/>
        <w:topLinePunct w:val="0"/>
        <w:autoSpaceDE/>
        <w:autoSpaceDN/>
        <w:bidi w:val="0"/>
        <w:adjustRightInd/>
        <w:spacing w:line="360" w:lineRule="auto"/>
        <w:ind w:firstLineChars="0"/>
        <w:textAlignment w:val="auto"/>
        <w:outlineLvl w:val="9"/>
        <w:rPr>
          <w:rFonts w:eastAsia="楷体"/>
        </w:rPr>
      </w:pPr>
      <w:r>
        <w:rPr>
          <w:b/>
          <w:sz w:val="22"/>
          <w:szCs w:val="22"/>
        </w:rPr>
        <w:drawing>
          <wp:anchor distT="0" distB="0" distL="114300" distR="114300" simplePos="0" relativeHeight="251727872" behindDoc="0" locked="0" layoutInCell="1" allowOverlap="1">
            <wp:simplePos x="0" y="0"/>
            <wp:positionH relativeFrom="margin">
              <wp:posOffset>-233680</wp:posOffset>
            </wp:positionH>
            <wp:positionV relativeFrom="paragraph">
              <wp:posOffset>62865</wp:posOffset>
            </wp:positionV>
            <wp:extent cx="971550" cy="1216660"/>
            <wp:effectExtent l="0" t="0" r="0" b="2540"/>
            <wp:wrapSquare wrapText="bothSides"/>
            <wp:docPr id="125" name="图片 1" descr="IMG_1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 descr="IMG_1499(1).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71550" cy="121666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授课导师：曾科</w:t>
      </w:r>
    </w:p>
    <w:p>
      <w:pPr>
        <w:keepNext w:val="0"/>
        <w:keepLines w:val="0"/>
        <w:pageBreakBefore w:val="0"/>
        <w:kinsoku/>
        <w:wordWrap/>
        <w:overflowPunct/>
        <w:topLinePunct w:val="0"/>
        <w:autoSpaceDE/>
        <w:autoSpaceDN/>
        <w:bidi w:val="0"/>
        <w:adjustRightInd/>
        <w:spacing w:line="360" w:lineRule="auto"/>
        <w:ind w:left="479"/>
        <w:textAlignment w:val="auto"/>
        <w:outlineLvl w:val="9"/>
        <w:rPr>
          <w:rFonts w:eastAsia="楷体"/>
          <w:sz w:val="22"/>
          <w:szCs w:val="22"/>
        </w:rPr>
      </w:pPr>
      <w:r>
        <w:rPr>
          <w:rFonts w:hint="eastAsia" w:eastAsia="楷体"/>
          <w:sz w:val="22"/>
          <w:szCs w:val="22"/>
        </w:rPr>
        <w:t>优势资本（西南）执行总裁，优势金控  合伙人，财富中国金融控股 合伙人，长期从事投资银行与基金管理工作，在产业地产、军工、新材料、农业及互联网行业有丰富的投资经验，在项目融资、市值管理及资本运作方面拥有丰富实战经验，成功投资服务企业：重庆天子之歌、小尼宅配、云南龙生茶业、脸谱中国等</w:t>
      </w:r>
      <w:r>
        <w:rPr>
          <w:rFonts w:hint="eastAsia" w:eastAsia="楷体"/>
          <w:sz w:val="22"/>
          <w:szCs w:val="22"/>
          <w:lang w:eastAsia="zh-CN"/>
        </w:rPr>
        <w:t>。</w:t>
      </w:r>
    </w:p>
    <w:p>
      <w:pPr>
        <w:pStyle w:val="12"/>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sz w:val="22"/>
          <w:szCs w:val="22"/>
        </w:rPr>
        <w:drawing>
          <wp:anchor distT="0" distB="0" distL="114300" distR="114300" simplePos="0" relativeHeight="251748352" behindDoc="0" locked="0" layoutInCell="1" allowOverlap="1">
            <wp:simplePos x="0" y="0"/>
            <wp:positionH relativeFrom="margin">
              <wp:posOffset>-236220</wp:posOffset>
            </wp:positionH>
            <wp:positionV relativeFrom="margin">
              <wp:posOffset>4009390</wp:posOffset>
            </wp:positionV>
            <wp:extent cx="996315" cy="1279525"/>
            <wp:effectExtent l="15875" t="15875" r="73660" b="76200"/>
            <wp:wrapSquare wrapText="bothSides"/>
            <wp:docPr id="21" name="图片 16" descr="微信截图_2015120317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微信截图_2015120317054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96315" cy="127952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eastAsia="楷体"/>
          <w:b/>
          <w:bCs/>
          <w:sz w:val="28"/>
        </w:rPr>
        <w:t>李  响</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r>
        <w:rPr>
          <w:rFonts w:hint="eastAsia" w:eastAsia="楷体"/>
          <w:sz w:val="22"/>
          <w:szCs w:val="22"/>
        </w:rPr>
        <w:t>响加速基金公司 主管合伙人，互联网投资专家、互联网营销专家；互联网极客与比特币大牛，交大特聘互联网营销讲师，国泰君安， 申银万国和东方证券的TMT（电信、科技、互联网）行业专家顾问，先后负责过盛大，美 团，七星等互联网企业O2O业务与国美，永乐，联华等传统企业的B2C业务，具有丰富的 互联网O2O实战营销与创业经验。</w:t>
      </w:r>
      <w:r>
        <w:rPr>
          <w:rFonts w:hint="eastAsia" w:eastAsia="楷体"/>
        </w:rPr>
        <w:t xml:space="preserve"> </w:t>
      </w:r>
    </w:p>
    <w:p>
      <w:pPr>
        <w:pStyle w:val="12"/>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rPr>
        <w:drawing>
          <wp:anchor distT="0" distB="0" distL="114300" distR="114300" simplePos="0" relativeHeight="251749376" behindDoc="0" locked="0" layoutInCell="1" allowOverlap="1">
            <wp:simplePos x="0" y="0"/>
            <wp:positionH relativeFrom="margin">
              <wp:posOffset>-234315</wp:posOffset>
            </wp:positionH>
            <wp:positionV relativeFrom="margin">
              <wp:posOffset>5704840</wp:posOffset>
            </wp:positionV>
            <wp:extent cx="980440" cy="1269365"/>
            <wp:effectExtent l="15875" t="15875" r="70485" b="86360"/>
            <wp:wrapSquare wrapText="bothSides"/>
            <wp:docPr id="22" name="图片 14" descr="微信截图_20151203163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微信截图_2015120316385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80440" cy="126936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eastAsia="楷体"/>
          <w:b/>
          <w:bCs/>
          <w:sz w:val="28"/>
        </w:rPr>
        <w:t>李志林</w:t>
      </w:r>
    </w:p>
    <w:p>
      <w:pPr>
        <w:keepNext w:val="0"/>
        <w:keepLines w:val="0"/>
        <w:pageBreakBefore w:val="0"/>
        <w:kinsoku/>
        <w:wordWrap/>
        <w:overflowPunct/>
        <w:topLinePunct w:val="0"/>
        <w:autoSpaceDE/>
        <w:autoSpaceDN/>
        <w:bidi w:val="0"/>
        <w:adjustRightInd/>
        <w:spacing w:line="360" w:lineRule="auto"/>
        <w:ind w:left="420"/>
        <w:textAlignment w:val="auto"/>
        <w:outlineLvl w:val="9"/>
        <w:rPr>
          <w:rFonts w:eastAsia="楷体"/>
          <w:sz w:val="22"/>
          <w:szCs w:val="22"/>
        </w:rPr>
      </w:pPr>
      <w:r>
        <w:rPr>
          <w:rFonts w:hint="eastAsia" w:eastAsia="楷体"/>
          <w:bCs/>
          <w:sz w:val="22"/>
          <w:szCs w:val="22"/>
        </w:rPr>
        <w:t>中国十大股王</w:t>
      </w:r>
      <w:r>
        <w:rPr>
          <w:rFonts w:hint="eastAsia" w:eastAsia="楷体"/>
          <w:sz w:val="22"/>
          <w:szCs w:val="22"/>
        </w:rPr>
        <w:t>，现任华东师范大学企业与经济发展研究所所长、主要著作有：《气论与中国传统思维方式》、《中西哲学比较面面观》、《价值与评价》等，曾应邀去美国和欧洲20多个国家考察，讲学交流。在全国证券投资者中拥有广泛的影响，经常去全国各地作讲座，以出众的理论思辨能力、演讲能力和实战技巧，使广大的投资者获益颇丰，颇受好评。</w:t>
      </w:r>
    </w:p>
    <w:p>
      <w:pPr>
        <w:pStyle w:val="12"/>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b/>
          <w:sz w:val="28"/>
        </w:rPr>
        <w:drawing>
          <wp:anchor distT="0" distB="0" distL="114300" distR="114300" simplePos="0" relativeHeight="251750400" behindDoc="0" locked="0" layoutInCell="1" allowOverlap="1">
            <wp:simplePos x="0" y="0"/>
            <wp:positionH relativeFrom="margin">
              <wp:posOffset>-196850</wp:posOffset>
            </wp:positionH>
            <wp:positionV relativeFrom="margin">
              <wp:posOffset>7376795</wp:posOffset>
            </wp:positionV>
            <wp:extent cx="967105" cy="1240155"/>
            <wp:effectExtent l="15875" t="15875" r="83820" b="77470"/>
            <wp:wrapSquare wrapText="bothSides"/>
            <wp:docPr id="23" name="图片 16" descr="微信截图_20151203163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微信截图_2015120316301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flipH="1">
                      <a:off x="0" y="0"/>
                      <a:ext cx="967105" cy="124015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eastAsia="楷体"/>
          <w:b/>
          <w:bCs/>
          <w:sz w:val="28"/>
        </w:rPr>
        <w:t>傅忠红</w:t>
      </w:r>
    </w:p>
    <w:p>
      <w:pPr>
        <w:keepNext w:val="0"/>
        <w:keepLines w:val="0"/>
        <w:pageBreakBefore w:val="0"/>
        <w:kinsoku/>
        <w:wordWrap/>
        <w:overflowPunct/>
        <w:topLinePunct w:val="0"/>
        <w:autoSpaceDE/>
        <w:autoSpaceDN/>
        <w:bidi w:val="0"/>
        <w:adjustRightInd/>
        <w:spacing w:line="360" w:lineRule="auto"/>
        <w:textAlignment w:val="auto"/>
        <w:outlineLvl w:val="9"/>
        <w:rPr>
          <w:rFonts w:hint="eastAsia" w:eastAsia="楷体"/>
          <w:sz w:val="22"/>
          <w:szCs w:val="22"/>
        </w:rPr>
      </w:pPr>
      <w:r>
        <w:rPr>
          <w:rFonts w:hint="eastAsia" w:eastAsia="楷体"/>
          <w:sz w:val="22"/>
          <w:szCs w:val="22"/>
        </w:rPr>
        <w:t>达晨创投  合伙人，10多年项目投资及企业管理经验，主投重点项目包括：天派电子、宏昌电子、移盟传媒、同济同捷、西安达刚、中南出版、金凰珠宝、尚品宅配等。 深圳市达晨创业投资有限公司投资总监，上海分公司总经理。曾担任广州市光电协会副会长，是国家中小企业创新基金的资深评审专家。</w:t>
      </w:r>
    </w:p>
    <w:p>
      <w:pPr>
        <w:pStyle w:val="12"/>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b/>
          <w:sz w:val="24"/>
          <w:szCs w:val="22"/>
        </w:rPr>
        <w:drawing>
          <wp:anchor distT="0" distB="0" distL="114300" distR="114300" simplePos="0" relativeHeight="251751424" behindDoc="0" locked="0" layoutInCell="1" allowOverlap="1">
            <wp:simplePos x="0" y="0"/>
            <wp:positionH relativeFrom="margin">
              <wp:posOffset>-177800</wp:posOffset>
            </wp:positionH>
            <wp:positionV relativeFrom="margin">
              <wp:posOffset>558800</wp:posOffset>
            </wp:positionV>
            <wp:extent cx="982980" cy="1185545"/>
            <wp:effectExtent l="15875" t="15875" r="86995" b="7493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82980" cy="118554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eastAsia="楷体"/>
          <w:b/>
          <w:bCs/>
          <w:sz w:val="28"/>
        </w:rPr>
        <w:t>梁英杰</w:t>
      </w:r>
    </w:p>
    <w:p>
      <w:pPr>
        <w:keepNext w:val="0"/>
        <w:keepLines w:val="0"/>
        <w:pageBreakBefore w:val="0"/>
        <w:kinsoku/>
        <w:wordWrap/>
        <w:overflowPunct/>
        <w:topLinePunct w:val="0"/>
        <w:autoSpaceDE/>
        <w:autoSpaceDN/>
        <w:bidi w:val="0"/>
        <w:adjustRightInd/>
        <w:spacing w:line="360" w:lineRule="auto"/>
        <w:textAlignment w:val="auto"/>
        <w:outlineLvl w:val="9"/>
        <w:rPr>
          <w:rFonts w:hint="eastAsia" w:eastAsia="楷体"/>
          <w:sz w:val="22"/>
          <w:szCs w:val="22"/>
        </w:rPr>
      </w:pPr>
      <w:r>
        <w:rPr>
          <w:rFonts w:hint="eastAsia" w:eastAsia="楷体"/>
          <w:sz w:val="22"/>
          <w:szCs w:val="22"/>
        </w:rPr>
        <w:t>凯鹏华盈 主管合伙人，曾在汇丰直接投资（亚洲）有限公司工作了超过了14年,他也有另外五年的投资/商业银行经验。直接参与了超过30家公司的投资，其中包括德信无线(Nasdaq: CNTF)，珠海炬力集成电路(Nasdaq: ACTS)，阿特斯太阳能（Nasdaq: CSIQ）和中国生物柴油(AIM: CBI.LN)。</w:t>
      </w:r>
    </w:p>
    <w:p>
      <w:pPr>
        <w:pStyle w:val="12"/>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eastAsia="楷体"/>
          <w:sz w:val="22"/>
          <w:szCs w:val="22"/>
        </w:rPr>
        <w:drawing>
          <wp:anchor distT="0" distB="0" distL="114300" distR="114300" simplePos="0" relativeHeight="251752448" behindDoc="0" locked="0" layoutInCell="1" allowOverlap="1">
            <wp:simplePos x="0" y="0"/>
            <wp:positionH relativeFrom="margin">
              <wp:posOffset>-167005</wp:posOffset>
            </wp:positionH>
            <wp:positionV relativeFrom="margin">
              <wp:posOffset>2286635</wp:posOffset>
            </wp:positionV>
            <wp:extent cx="985520" cy="1297940"/>
            <wp:effectExtent l="15875" t="15875" r="84455" b="76835"/>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85520" cy="1297940"/>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w:t>
      </w:r>
      <w:r>
        <w:rPr>
          <w:rFonts w:hint="eastAsia" w:eastAsia="楷体"/>
          <w:b/>
          <w:bCs/>
          <w:sz w:val="28"/>
        </w:rPr>
        <w:t>周树明</w:t>
      </w:r>
    </w:p>
    <w:p>
      <w:pPr>
        <w:keepNext w:val="0"/>
        <w:keepLines w:val="0"/>
        <w:pageBreakBefore w:val="0"/>
        <w:kinsoku/>
        <w:wordWrap/>
        <w:overflowPunct/>
        <w:topLinePunct w:val="0"/>
        <w:autoSpaceDE/>
        <w:autoSpaceDN/>
        <w:bidi w:val="0"/>
        <w:adjustRightInd/>
        <w:spacing w:line="360" w:lineRule="auto"/>
        <w:textAlignment w:val="auto"/>
        <w:outlineLvl w:val="9"/>
        <w:rPr>
          <w:rFonts w:hint="eastAsia" w:eastAsia="楷体"/>
        </w:rPr>
      </w:pPr>
      <w:r>
        <w:rPr>
          <w:rFonts w:hint="eastAsia" w:eastAsia="楷体"/>
          <w:sz w:val="22"/>
          <w:szCs w:val="22"/>
        </w:rPr>
        <w:t>智放营销 董事长，十年外企实战经验，原百事可乐市场总监，曾创造过80.9%的市场占有率，居百事可乐全球第一，因此荣获百事可乐亚太地区最佳营销团队成员奖;2003年创办实战营销机构鼎联咨询，构建“系统营销”加贴身绑定式服务为国内上百家企业带来了业绩的飞速成长。</w:t>
      </w:r>
    </w:p>
    <w:p>
      <w:pPr>
        <w:pStyle w:val="12"/>
        <w:keepNext w:val="0"/>
        <w:keepLines w:val="0"/>
        <w:pageBreakBefore w:val="0"/>
        <w:widowControl w:val="0"/>
        <w:numPr>
          <w:ilvl w:val="0"/>
          <w:numId w:val="1"/>
        </w:numPr>
        <w:kinsoku/>
        <w:wordWrap/>
        <w:overflowPunct/>
        <w:topLinePunct w:val="0"/>
        <w:autoSpaceDE/>
        <w:autoSpaceDN/>
        <w:bidi w:val="0"/>
        <w:adjustRightInd/>
        <w:spacing w:line="360" w:lineRule="auto"/>
        <w:ind w:left="284" w:hanging="284" w:firstLineChars="0"/>
        <w:jc w:val="both"/>
        <w:textAlignment w:val="auto"/>
        <w:outlineLvl w:val="9"/>
        <w:rPr>
          <w:rFonts w:eastAsia="楷体"/>
          <w:b/>
          <w:sz w:val="28"/>
        </w:rPr>
      </w:pPr>
      <w:r>
        <w:rPr>
          <w:rFonts w:ascii="Helvetica" w:hAnsi="Helvetica" w:cs="Helvetica"/>
        </w:rPr>
        <w:drawing>
          <wp:anchor distT="0" distB="0" distL="114300" distR="114300" simplePos="0" relativeHeight="251754496" behindDoc="0" locked="0" layoutInCell="1" allowOverlap="1">
            <wp:simplePos x="0" y="0"/>
            <wp:positionH relativeFrom="margin">
              <wp:posOffset>-160020</wp:posOffset>
            </wp:positionH>
            <wp:positionV relativeFrom="paragraph">
              <wp:posOffset>55245</wp:posOffset>
            </wp:positionV>
            <wp:extent cx="985520" cy="1289050"/>
            <wp:effectExtent l="15875" t="15875" r="84455" b="857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6">
                      <a:extLst>
                        <a:ext uri="{28A0092B-C50C-407E-A947-70E740481C1C}">
                          <a14:useLocalDpi xmlns:a14="http://schemas.microsoft.com/office/drawing/2010/main" val="0"/>
                        </a:ext>
                      </a:extLst>
                    </a:blip>
                    <a:srcRect t="6876" b="5966"/>
                    <a:stretch>
                      <a:fillRect/>
                    </a:stretch>
                  </pic:blipFill>
                  <pic:spPr>
                    <a:xfrm>
                      <a:off x="0" y="0"/>
                      <a:ext cx="985520" cy="1289050"/>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授课导师：周立</w:t>
      </w:r>
      <w:r>
        <w:rPr>
          <w:rFonts w:eastAsia="楷体"/>
          <w:b/>
          <w:sz w:val="28"/>
        </w:rPr>
        <w:t xml:space="preserve"> </w:t>
      </w:r>
      <w:r>
        <w:rPr>
          <w:rFonts w:hint="eastAsia" w:eastAsia="楷体"/>
          <w:b/>
          <w:sz w:val="28"/>
        </w:rPr>
        <w:t xml:space="preserve"> 教授</w:t>
      </w:r>
    </w:p>
    <w:p>
      <w:pPr>
        <w:keepNext w:val="0"/>
        <w:keepLines w:val="0"/>
        <w:pageBreakBefore w:val="0"/>
        <w:kinsoku/>
        <w:wordWrap/>
        <w:overflowPunct/>
        <w:topLinePunct w:val="0"/>
        <w:autoSpaceDE/>
        <w:autoSpaceDN/>
        <w:bidi w:val="0"/>
        <w:adjustRightInd/>
        <w:spacing w:line="360" w:lineRule="auto"/>
        <w:textAlignment w:val="auto"/>
        <w:outlineLvl w:val="9"/>
        <w:rPr>
          <w:rFonts w:hint="eastAsia" w:eastAsia="楷体"/>
          <w:sz w:val="22"/>
          <w:szCs w:val="22"/>
        </w:rPr>
      </w:pPr>
      <w:r>
        <w:rPr>
          <w:rFonts w:hint="eastAsia" w:eastAsia="楷体"/>
          <w:sz w:val="22"/>
          <w:szCs w:val="22"/>
        </w:rPr>
        <w:t>清华大学经济管理学院会计系教授、北京国家会计学院兼职教授。曾兼任多家企业董事：清华企业集团、清华科技园、清华北方、清华鲁银、清华紫光比微、清华科威、清华河北科技园等。现为四家上市公司独立董事：中金黄金、北方国际、三元股份、英威腾。</w:t>
      </w:r>
    </w:p>
    <w:p>
      <w:pPr>
        <w:pStyle w:val="12"/>
        <w:keepNext w:val="0"/>
        <w:keepLines w:val="0"/>
        <w:pageBreakBefore w:val="0"/>
        <w:numPr>
          <w:ilvl w:val="0"/>
          <w:numId w:val="1"/>
        </w:numPr>
        <w:kinsoku/>
        <w:wordWrap/>
        <w:overflowPunct/>
        <w:topLinePunct w:val="0"/>
        <w:autoSpaceDE/>
        <w:autoSpaceDN/>
        <w:bidi w:val="0"/>
        <w:adjustRightInd/>
        <w:spacing w:line="360" w:lineRule="auto"/>
        <w:ind w:left="284" w:hanging="284" w:firstLineChars="0"/>
        <w:textAlignment w:val="auto"/>
        <w:outlineLvl w:val="9"/>
        <w:rPr>
          <w:rFonts w:eastAsia="楷体"/>
          <w:b/>
          <w:sz w:val="28"/>
        </w:rPr>
      </w:pPr>
      <w:r>
        <w:rPr>
          <w:rFonts w:hint="eastAsia" w:eastAsia="楷体"/>
          <w:b/>
          <w:sz w:val="28"/>
        </w:rPr>
        <w:drawing>
          <wp:anchor distT="0" distB="0" distL="114300" distR="114300" simplePos="0" relativeHeight="251747328" behindDoc="0" locked="0" layoutInCell="1" allowOverlap="1">
            <wp:simplePos x="0" y="0"/>
            <wp:positionH relativeFrom="column">
              <wp:posOffset>-151130</wp:posOffset>
            </wp:positionH>
            <wp:positionV relativeFrom="paragraph">
              <wp:posOffset>82550</wp:posOffset>
            </wp:positionV>
            <wp:extent cx="984250" cy="1264285"/>
            <wp:effectExtent l="15875" t="15875" r="85725" b="72390"/>
            <wp:wrapThrough wrapText="bothSides">
              <wp:wrapPolygon>
                <wp:start x="-348" y="-271"/>
                <wp:lineTo x="-348" y="22511"/>
                <wp:lineTo x="22645" y="22511"/>
                <wp:lineTo x="22645" y="-271"/>
                <wp:lineTo x="-348" y="-271"/>
              </wp:wrapPolygon>
            </wp:wrapThrough>
            <wp:docPr id="20" name="图片 20" descr="C:\Users\lenovo\Desktop\工作文件夹\李海宁个人资料\李海宁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Desktop\工作文件夹\李海宁个人资料\李海宁照片\1.jpg"/>
                    <pic:cNvPicPr>
                      <a:picLocks noChangeAspect="1" noChangeArrowheads="1"/>
                    </pic:cNvPicPr>
                  </pic:nvPicPr>
                  <pic:blipFill>
                    <a:blip r:embed="rId27">
                      <a:extLst>
                        <a:ext uri="{28A0092B-C50C-407E-A947-70E740481C1C}">
                          <a14:useLocalDpi xmlns:a14="http://schemas.microsoft.com/office/drawing/2010/main" val="0"/>
                        </a:ext>
                      </a:extLst>
                    </a:blip>
                    <a:srcRect l="10550" t="13354" r="9645"/>
                    <a:stretch>
                      <a:fillRect/>
                    </a:stretch>
                  </pic:blipFill>
                  <pic:spPr>
                    <a:xfrm>
                      <a:off x="0" y="0"/>
                      <a:ext cx="984250" cy="126428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eastAsia="楷体"/>
          <w:b/>
          <w:sz w:val="28"/>
        </w:rPr>
        <w:t>授课导师：李海宁</w:t>
      </w:r>
    </w:p>
    <w:p>
      <w:pPr>
        <w:keepNext w:val="0"/>
        <w:keepLines w:val="0"/>
        <w:pageBreakBefore w:val="0"/>
        <w:kinsoku/>
        <w:wordWrap/>
        <w:overflowPunct/>
        <w:topLinePunct w:val="0"/>
        <w:autoSpaceDE/>
        <w:autoSpaceDN/>
        <w:bidi w:val="0"/>
        <w:adjustRightInd/>
        <w:spacing w:line="360" w:lineRule="auto"/>
        <w:textAlignment w:val="auto"/>
        <w:outlineLvl w:val="9"/>
        <w:rPr>
          <w:rFonts w:hint="eastAsia" w:eastAsia="楷体"/>
        </w:rPr>
      </w:pPr>
      <w:r>
        <w:rPr>
          <w:rFonts w:hint="eastAsia" w:eastAsia="楷体"/>
          <w:sz w:val="22"/>
          <w:szCs w:val="22"/>
        </w:rPr>
        <w:t>招商证券投资银行总部董事，金融交易规划设计专家，资产证券化规划与设计专家，产业投资与产业并购顶层设计专家，重大产业重组与产业整合专家，北京大学、清华大学等多所高校企业家总裁班客座教授。拥有为近</w:t>
      </w:r>
      <w:r>
        <w:rPr>
          <w:rFonts w:eastAsia="楷体"/>
          <w:sz w:val="22"/>
          <w:szCs w:val="22"/>
        </w:rPr>
        <w:t>20</w:t>
      </w:r>
      <w:r>
        <w:rPr>
          <w:rFonts w:hint="eastAsia" w:eastAsia="楷体"/>
          <w:sz w:val="22"/>
          <w:szCs w:val="22"/>
        </w:rPr>
        <w:t>家超大型央企和国企提供资产重组、产业并购、股权融资、资产证券化等服务，累积融资和交易总额数百亿。</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FF0000"/>
          <w:sz w:val="28"/>
        </w:rPr>
      </w:pPr>
      <w:r>
        <w:rPr>
          <w:rFonts w:hint="eastAsia" w:ascii="微软雅黑" w:hAnsi="微软雅黑" w:eastAsia="微软雅黑"/>
          <w:b/>
          <w:color w:val="FF0000"/>
          <w:sz w:val="28"/>
        </w:rPr>
        <w:t>【资本后E组织机构】</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r>
        <w:rPr>
          <w:rFonts w:hint="eastAsia" w:eastAsia="楷体"/>
        </w:rPr>
        <w:t xml:space="preserve">       </w:t>
      </w:r>
      <w:r>
        <w:rPr>
          <w:rFonts w:hint="eastAsia" w:eastAsia="楷体"/>
          <w:lang w:val="en-US" w:eastAsia="zh-CN"/>
        </w:rPr>
        <w:t xml:space="preserve">  </w:t>
      </w:r>
      <w:r>
        <w:rPr>
          <w:rFonts w:hint="eastAsia" w:eastAsia="楷体"/>
        </w:rPr>
        <w:t>资本后EMBA由北清智库商学院与上海优势资本共同发起组织，引入全国顶尖教育和资本资源，得到红杉资本、中金</w:t>
      </w:r>
      <w:r>
        <w:rPr>
          <w:rFonts w:eastAsia="楷体"/>
        </w:rPr>
        <w:t>公司</w:t>
      </w:r>
      <w:r>
        <w:rPr>
          <w:rFonts w:hint="eastAsia" w:eastAsia="楷体"/>
        </w:rPr>
        <w:t>、德同资本、招商证券投行部等资本机构支持！</w:t>
      </w: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r>
        <w:rPr>
          <w:rFonts w:hint="eastAsia" w:eastAsia="楷体"/>
        </w:rPr>
        <w:t>*联合发起机构已经完成投资案例如下：</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eastAsia="楷体"/>
        </w:rPr>
        <w:t xml:space="preserve"> </w:t>
      </w:r>
      <w:r>
        <w:rPr>
          <w:rFonts w:eastAsia="楷体"/>
        </w:rPr>
        <w:drawing>
          <wp:inline distT="0" distB="0" distL="0" distR="0">
            <wp:extent cx="5486400" cy="3352800"/>
            <wp:effectExtent l="15875" t="15875" r="79375" b="7937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28"/>
                    <a:stretch>
                      <a:fillRect/>
                    </a:stretch>
                  </pic:blipFill>
                  <pic:spPr>
                    <a:xfrm>
                      <a:off x="0" y="0"/>
                      <a:ext cx="5486400" cy="335280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eastAsia="楷体"/>
        </w:rPr>
        <w:drawing>
          <wp:inline distT="0" distB="0" distL="0" distR="0">
            <wp:extent cx="5486400" cy="3385185"/>
            <wp:effectExtent l="0" t="0" r="0" b="57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29"/>
                    <a:stretch>
                      <a:fillRect/>
                    </a:stretch>
                  </pic:blipFill>
                  <pic:spPr>
                    <a:xfrm>
                      <a:off x="0" y="0"/>
                      <a:ext cx="5486400" cy="338518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hint="eastAsia" w:ascii="微软雅黑" w:hAnsi="微软雅黑" w:eastAsia="微软雅黑"/>
          <w:b/>
          <w:color w:val="FF0000"/>
          <w:sz w:val="28"/>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hint="eastAsia" w:ascii="微软雅黑" w:hAnsi="微软雅黑" w:eastAsia="微软雅黑"/>
          <w:b/>
          <w:color w:val="FF0000"/>
          <w:sz w:val="28"/>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ascii="微软雅黑" w:hAnsi="微软雅黑" w:eastAsia="微软雅黑"/>
          <w:b/>
          <w:color w:val="FF0000"/>
          <w:sz w:val="28"/>
        </w:rPr>
      </w:pPr>
      <w:r>
        <w:rPr>
          <w:rFonts w:hint="eastAsia" w:ascii="微软雅黑" w:hAnsi="微软雅黑" w:eastAsia="微软雅黑"/>
          <w:b/>
          <w:color w:val="FF0000"/>
          <w:sz w:val="28"/>
        </w:rPr>
        <w:t>【招生对象】</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eastAsia="楷体"/>
        </w:rPr>
        <w:t>1、面临转型升级的传统产业企业家；</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eastAsia="楷体"/>
        </w:rPr>
        <w:t>2、期望快速对接资本市场的实业家；</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eastAsia="楷体"/>
        </w:rPr>
        <w:t>3、企业规模要求在一亿元资产以上。</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ascii="微软雅黑" w:hAnsi="微软雅黑" w:eastAsia="微软雅黑"/>
          <w:b/>
          <w:color w:val="FF0000"/>
          <w:sz w:val="28"/>
        </w:rPr>
        <w:t>【开班计划】</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eastAsia="楷体"/>
        </w:rPr>
        <w:t xml:space="preserve">       卓越190商业领袖培育工程计划招生190名学员，学制1年，每月利用一个周末研习2-3天。</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FF0000"/>
          <w:sz w:val="28"/>
        </w:rPr>
      </w:pPr>
      <w:r>
        <w:rPr>
          <w:rFonts w:hint="eastAsia" w:ascii="微软雅黑" w:hAnsi="微软雅黑" w:eastAsia="微软雅黑"/>
          <w:b/>
          <w:color w:val="FF0000"/>
          <w:sz w:val="28"/>
        </w:rPr>
        <w:t>【投资费用】</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eastAsia="楷体"/>
        </w:rPr>
        <w:t>课程学</w:t>
      </w:r>
      <w:r>
        <w:rPr>
          <w:rFonts w:eastAsia="楷体"/>
        </w:rPr>
        <w:t>费：</w:t>
      </w:r>
      <w:r>
        <w:rPr>
          <w:rFonts w:hint="eastAsia" w:eastAsia="楷体"/>
        </w:rPr>
        <w:t>1</w:t>
      </w:r>
      <w:r>
        <w:rPr>
          <w:rFonts w:hint="eastAsia" w:eastAsia="楷体"/>
          <w:lang w:val="en-US" w:eastAsia="zh-CN"/>
        </w:rPr>
        <w:t>6</w:t>
      </w:r>
      <w:bookmarkStart w:id="1" w:name="_GoBack"/>
      <w:bookmarkEnd w:id="1"/>
      <w:r>
        <w:rPr>
          <w:rFonts w:hint="eastAsia" w:eastAsia="楷体"/>
        </w:rPr>
        <w:t>.8万元人民币</w:t>
      </w:r>
      <w:r>
        <w:rPr>
          <w:rFonts w:eastAsia="楷体"/>
        </w:rPr>
        <w:t>／</w:t>
      </w:r>
      <w:r>
        <w:rPr>
          <w:rFonts w:hint="eastAsia" w:eastAsia="楷体"/>
        </w:rPr>
        <w:t>人，</w:t>
      </w:r>
      <w:r>
        <w:rPr>
          <w:rFonts w:eastAsia="楷体"/>
        </w:rPr>
        <w:t>包括师资、讲义、场地费，不包括：学习和游学期间产生的食宿交通游览费用。</w:t>
      </w:r>
      <w:r>
        <w:rPr>
          <w:rFonts w:hint="eastAsia" w:eastAsia="楷体"/>
        </w:rPr>
        <w:t>导师前往企业实地考察所发生的差旅接待等费用由学员全权负责。赠送10万元私募股权基金原始股期权，签订赠股协议</w:t>
      </w:r>
      <w:r>
        <w:rPr>
          <w:rFonts w:eastAsia="楷体"/>
        </w:rPr>
        <w:t xml:space="preserve">  </w:t>
      </w:r>
      <w:r>
        <w:rPr>
          <w:rFonts w:hint="eastAsia" w:eastAsia="楷体"/>
        </w:rPr>
        <w:t>；</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FF0000"/>
          <w:sz w:val="28"/>
        </w:rPr>
      </w:pPr>
      <w:r>
        <w:rPr>
          <w:rFonts w:hint="eastAsia" w:ascii="微软雅黑" w:hAnsi="微软雅黑" w:eastAsia="微软雅黑"/>
          <w:b/>
          <w:color w:val="FF0000"/>
          <w:sz w:val="28"/>
        </w:rPr>
        <w:t>【申请流程】</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eastAsia="楷体"/>
        </w:rPr>
        <w:t>提交《资格审查表》——招生办公室审核——缴纳学费——签订期权赠予和代持协议——入班学习</w:t>
      </w:r>
    </w:p>
    <w:p>
      <w:pPr>
        <w:keepNext w:val="0"/>
        <w:keepLines w:val="0"/>
        <w:pageBreakBefore w:val="0"/>
        <w:kinsoku/>
        <w:wordWrap/>
        <w:overflowPunct/>
        <w:topLinePunct w:val="0"/>
        <w:autoSpaceDE/>
        <w:autoSpaceDN/>
        <w:bidi w:val="0"/>
        <w:adjustRightInd/>
        <w:spacing w:line="360" w:lineRule="auto"/>
        <w:textAlignment w:val="auto"/>
        <w:outlineLvl w:val="9"/>
        <w:rPr>
          <w:rFonts w:ascii="微软雅黑" w:hAnsi="微软雅黑" w:eastAsia="微软雅黑"/>
          <w:b/>
          <w:color w:val="FF0000"/>
          <w:sz w:val="28"/>
        </w:rPr>
      </w:pPr>
      <w:r>
        <w:rPr>
          <w:rFonts w:hint="eastAsia" w:ascii="微软雅黑" w:hAnsi="微软雅黑" w:eastAsia="微软雅黑"/>
          <w:b/>
          <w:color w:val="FF0000"/>
          <w:sz w:val="28"/>
        </w:rPr>
        <w:t>【招生办公室】</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eastAsia="楷体"/>
        </w:rPr>
        <w:t>联系人：</w:t>
      </w:r>
      <w:r>
        <w:rPr>
          <w:rFonts w:hint="eastAsia" w:eastAsia="楷体"/>
          <w:lang w:eastAsia="zh-CN"/>
        </w:rPr>
        <w:t>张老师</w:t>
      </w:r>
      <w:r>
        <w:rPr>
          <w:rFonts w:hint="eastAsia" w:eastAsia="楷体"/>
          <w:lang w:val="en-US" w:eastAsia="zh-CN"/>
        </w:rPr>
        <w:t xml:space="preserve"> 15801019329（微信同号）</w:t>
      </w:r>
      <w:r>
        <w:rPr>
          <w:rFonts w:hint="eastAsia" w:eastAsia="楷体"/>
        </w:rPr>
        <w:t xml:space="preserve"> </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hint="eastAsia" w:eastAsia="楷体"/>
          <w:lang w:val="en-US" w:eastAsia="zh-CN"/>
        </w:rPr>
      </w:pPr>
      <w:r>
        <w:rPr>
          <w:rFonts w:hint="eastAsia" w:eastAsia="楷体"/>
        </w:rPr>
        <w:t>电</w:t>
      </w:r>
      <w:r>
        <w:rPr>
          <w:rFonts w:hint="eastAsia" w:eastAsia="楷体"/>
          <w:lang w:val="en-US" w:eastAsia="zh-CN"/>
        </w:rPr>
        <w:t xml:space="preserve">    </w:t>
      </w:r>
      <w:r>
        <w:rPr>
          <w:rFonts w:hint="eastAsia" w:eastAsia="楷体"/>
        </w:rPr>
        <w:t>话：</w:t>
      </w:r>
      <w:r>
        <w:rPr>
          <w:rFonts w:hint="eastAsia" w:eastAsia="楷体"/>
          <w:lang w:val="en-US" w:eastAsia="zh-CN"/>
        </w:rPr>
        <w:t>010-56156755</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hint="eastAsia" w:eastAsia="楷体"/>
          <w:lang w:val="en-US" w:eastAsia="zh-CN"/>
        </w:rPr>
      </w:pPr>
      <w:r>
        <w:rPr>
          <w:rFonts w:hint="eastAsia" w:eastAsia="楷体"/>
          <w:lang w:val="en-US" w:eastAsia="zh-CN"/>
        </w:rPr>
        <w:t>邮    箱：</w:t>
      </w:r>
      <w:r>
        <w:rPr>
          <w:rFonts w:hint="eastAsia" w:eastAsia="楷体"/>
          <w:lang w:val="en-US" w:eastAsia="zh-CN"/>
        </w:rPr>
        <w:fldChar w:fldCharType="begin"/>
      </w:r>
      <w:r>
        <w:rPr>
          <w:rFonts w:hint="eastAsia" w:eastAsia="楷体"/>
          <w:lang w:val="en-US" w:eastAsia="zh-CN"/>
        </w:rPr>
        <w:instrText xml:space="preserve"> HYPERLINK "mailto:pkuyxb@163.com" </w:instrText>
      </w:r>
      <w:r>
        <w:rPr>
          <w:rFonts w:hint="eastAsia" w:eastAsia="楷体"/>
          <w:lang w:val="en-US" w:eastAsia="zh-CN"/>
        </w:rPr>
        <w:fldChar w:fldCharType="separate"/>
      </w:r>
      <w:r>
        <w:rPr>
          <w:rStyle w:val="8"/>
          <w:rFonts w:hint="eastAsia" w:eastAsia="楷体"/>
          <w:lang w:val="en-US" w:eastAsia="zh-CN"/>
        </w:rPr>
        <w:t>pkuyxb@163.com</w:t>
      </w:r>
      <w:r>
        <w:rPr>
          <w:rFonts w:hint="eastAsia" w:eastAsia="楷体"/>
          <w:lang w:val="en-US" w:eastAsia="zh-CN"/>
        </w:rPr>
        <w:fldChar w:fldCharType="end"/>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hint="eastAsia" w:eastAsia="楷体"/>
          <w:lang w:val="en-US" w:eastAsia="zh-CN"/>
        </w:rPr>
      </w:pPr>
      <w:r>
        <w:rPr>
          <w:rFonts w:hint="eastAsia" w:eastAsia="楷体"/>
          <w:lang w:val="en-US" w:eastAsia="zh-CN"/>
        </w:rPr>
        <w:t>官   网：</w:t>
      </w:r>
      <w:r>
        <w:rPr>
          <w:rFonts w:hint="eastAsia" w:ascii="新宋体" w:hAnsi="新宋体" w:eastAsia="新宋体"/>
          <w:b/>
          <w:color w:val="0000FF"/>
          <w:sz w:val="24"/>
        </w:rPr>
        <w:fldChar w:fldCharType="begin"/>
      </w:r>
      <w:r>
        <w:rPr>
          <w:rFonts w:hint="eastAsia" w:ascii="新宋体" w:hAnsi="新宋体" w:eastAsia="新宋体"/>
          <w:b/>
          <w:color w:val="0000FF"/>
          <w:sz w:val="24"/>
        </w:rPr>
        <w:instrText xml:space="preserve"> HYPERLINK "http://tsinghua.embayx.org/" </w:instrText>
      </w:r>
      <w:r>
        <w:rPr>
          <w:rFonts w:hint="eastAsia" w:ascii="新宋体" w:hAnsi="新宋体" w:eastAsia="新宋体"/>
          <w:b/>
          <w:color w:val="0000FF"/>
          <w:sz w:val="24"/>
        </w:rPr>
        <w:fldChar w:fldCharType="separate"/>
      </w:r>
      <w:r>
        <w:rPr>
          <w:rFonts w:hint="eastAsia" w:ascii="新宋体" w:hAnsi="新宋体" w:eastAsia="新宋体"/>
          <w:b/>
          <w:color w:val="0000FF"/>
          <w:sz w:val="24"/>
        </w:rPr>
        <w:t>http://www.pkupxw.org/</w:t>
      </w:r>
      <w:r>
        <w:rPr>
          <w:rFonts w:hint="eastAsia" w:ascii="新宋体" w:hAnsi="新宋体" w:eastAsia="新宋体"/>
          <w:b/>
          <w:color w:val="0000FF"/>
          <w:sz w:val="24"/>
        </w:rPr>
        <w:fldChar w:fldCharType="end"/>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ascii="微软雅黑" w:hAnsi="微软雅黑" w:eastAsia="微软雅黑"/>
          <w:b/>
          <w:color w:val="C00000"/>
          <w:sz w:val="44"/>
        </w:rPr>
      </w:pPr>
      <w:r>
        <w:rPr>
          <w:rFonts w:hint="eastAsia" w:ascii="微软雅黑" w:hAnsi="微软雅黑" w:eastAsia="微软雅黑"/>
          <w:b/>
          <w:color w:val="C00000"/>
          <w:sz w:val="44"/>
        </w:rPr>
        <w:t>资本后EMBA董事长</w:t>
      </w:r>
      <w:r>
        <w:rPr>
          <w:rFonts w:ascii="微软雅黑" w:hAnsi="微软雅黑" w:eastAsia="微软雅黑"/>
          <w:b/>
          <w:color w:val="C00000"/>
          <w:sz w:val="44"/>
        </w:rPr>
        <w:t>高端项目</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ascii="黑体" w:eastAsia="黑体"/>
          <w:b/>
          <w:sz w:val="44"/>
          <w:szCs w:val="44"/>
        </w:rPr>
      </w:pPr>
      <w:r>
        <w:rPr>
          <w:rFonts w:hint="eastAsia" w:ascii="黑体" w:eastAsia="黑体"/>
          <w:b/>
          <w:sz w:val="44"/>
          <w:szCs w:val="44"/>
        </w:rPr>
        <w:t>学员资格审查表</w:t>
      </w:r>
    </w:p>
    <w:p>
      <w:pPr>
        <w:keepNext w:val="0"/>
        <w:keepLines w:val="0"/>
        <w:pageBreakBefore w:val="0"/>
        <w:kinsoku/>
        <w:wordWrap/>
        <w:overflowPunct/>
        <w:topLinePunct w:val="0"/>
        <w:autoSpaceDE/>
        <w:autoSpaceDN/>
        <w:bidi w:val="0"/>
        <w:adjustRightInd/>
        <w:spacing w:line="360" w:lineRule="auto"/>
        <w:jc w:val="center"/>
        <w:textAlignment w:val="auto"/>
        <w:outlineLvl w:val="9"/>
        <w:rPr>
          <w:rFonts w:ascii="黑体" w:hAnsi="宋体" w:eastAsia="黑体"/>
          <w:szCs w:val="21"/>
        </w:rPr>
      </w:pPr>
      <w:bookmarkStart w:id="0" w:name="OLE_LINK1"/>
      <w:r>
        <w:rPr>
          <w:rFonts w:hint="eastAsia" w:ascii="黑体" w:hAnsi="宋体" w:eastAsia="黑体"/>
          <w:b/>
          <w:szCs w:val="21"/>
        </w:rPr>
        <w:t xml:space="preserve">                                              </w:t>
      </w:r>
      <w:r>
        <w:rPr>
          <w:rFonts w:hint="eastAsia" w:ascii="黑体" w:hAnsi="宋体" w:eastAsia="黑体"/>
          <w:szCs w:val="21"/>
        </w:rPr>
        <w:t xml:space="preserve"> 编号：</w:t>
      </w:r>
    </w:p>
    <w:tbl>
      <w:tblPr>
        <w:tblStyle w:val="10"/>
        <w:tblW w:w="9675" w:type="dxa"/>
        <w:tblInd w:w="-7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825"/>
        <w:gridCol w:w="3629"/>
        <w:gridCol w:w="6"/>
        <w:gridCol w:w="46"/>
        <w:gridCol w:w="986"/>
        <w:gridCol w:w="6"/>
        <w:gridCol w:w="420"/>
        <w:gridCol w:w="120"/>
        <w:gridCol w:w="1197"/>
        <w:gridCol w:w="63"/>
        <w:gridCol w:w="13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96" w:hRule="atLeast"/>
        </w:trPr>
        <w:tc>
          <w:tcPr>
            <w:tcW w:w="9675" w:type="dxa"/>
            <w:gridSpan w:val="11"/>
            <w:shd w:val="clear" w:color="auto" w:fill="8DB3E2"/>
            <w:vAlign w:val="center"/>
          </w:tcPr>
          <w:p>
            <w:pPr>
              <w:keepNext w:val="0"/>
              <w:keepLines w:val="0"/>
              <w:pageBreakBefore w:val="0"/>
              <w:kinsoku/>
              <w:wordWrap/>
              <w:overflowPunct/>
              <w:topLinePunct w:val="0"/>
              <w:autoSpaceDE/>
              <w:autoSpaceDN/>
              <w:bidi w:val="0"/>
              <w:adjustRightInd/>
              <w:snapToGrid w:val="0"/>
              <w:spacing w:before="40" w:line="360" w:lineRule="auto"/>
              <w:ind w:firstLine="240" w:firstLineChars="100"/>
              <w:textAlignment w:val="auto"/>
              <w:outlineLvl w:val="9"/>
              <w:rPr>
                <w:rFonts w:ascii="宋体" w:hAnsi="宋体"/>
              </w:rPr>
            </w:pPr>
            <w:r>
              <w:rPr>
                <w:rFonts w:hint="eastAsia" w:ascii="宋体" w:hAnsi="宋体"/>
                <w:b/>
                <w:bCs/>
              </w:rPr>
              <w:t xml:space="preserve">1、基本情况 </w:t>
            </w:r>
            <w:r>
              <w:rPr>
                <w:rFonts w:hint="eastAsia" w:ascii="宋体" w:hAnsi="宋体"/>
                <w:b/>
                <w:bCs/>
                <w:szCs w:val="21"/>
              </w:rPr>
              <w:t>（请用</w:t>
            </w:r>
            <w:r>
              <w:rPr>
                <w:rFonts w:hint="eastAsia" w:ascii="宋体" w:hAnsi="宋体"/>
                <w:szCs w:val="21"/>
              </w:rPr>
              <w:t>“</w:t>
            </w:r>
            <w:r>
              <w:rPr>
                <w:rFonts w:hint="eastAsia" w:ascii="宋体" w:hAnsi="宋体"/>
                <w:sz w:val="18"/>
              </w:rPr>
              <w:fldChar w:fldCharType="begin"/>
            </w:r>
            <w:r>
              <w:rPr>
                <w:rFonts w:hint="eastAsia" w:ascii="宋体" w:hAnsi="宋体"/>
                <w:sz w:val="18"/>
              </w:rPr>
              <w:instrText xml:space="preserve"> EQ \o\ac(□,</w:instrText>
            </w:r>
            <w:r>
              <w:rPr>
                <w:rFonts w:hint="eastAsia" w:ascii="宋体" w:hAnsi="宋体"/>
                <w:position w:val="2"/>
                <w:sz w:val="12"/>
              </w:rPr>
              <w:instrText xml:space="preserve">√</w:instrText>
            </w:r>
            <w:r>
              <w:rPr>
                <w:rFonts w:hint="eastAsia" w:ascii="宋体" w:hAnsi="宋体"/>
                <w:sz w:val="18"/>
              </w:rPr>
              <w:instrText xml:space="preserve">)</w:instrText>
            </w:r>
            <w:r>
              <w:rPr>
                <w:rFonts w:hint="eastAsia" w:ascii="宋体" w:hAnsi="宋体"/>
                <w:sz w:val="18"/>
              </w:rPr>
              <w:fldChar w:fldCharType="end"/>
            </w:r>
            <w:r>
              <w:rPr>
                <w:rFonts w:hint="eastAsia" w:ascii="宋体" w:hAnsi="宋体"/>
                <w:szCs w:val="21"/>
              </w:rPr>
              <w:t>”</w:t>
            </w:r>
            <w:r>
              <w:rPr>
                <w:rFonts w:hint="eastAsia" w:ascii="宋体" w:hAnsi="宋体"/>
                <w:b/>
                <w:szCs w:val="21"/>
              </w:rPr>
              <w:t>标注选项</w:t>
            </w:r>
            <w:r>
              <w:rPr>
                <w:rFonts w:hint="eastAsia" w:ascii="宋体" w:hAnsi="宋体"/>
                <w:b/>
                <w:bCs/>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姓    名</w:t>
            </w:r>
          </w:p>
        </w:tc>
        <w:tc>
          <w:tcPr>
            <w:tcW w:w="3629"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c>
          <w:tcPr>
            <w:tcW w:w="1038" w:type="dxa"/>
            <w:gridSpan w:val="3"/>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性    别</w:t>
            </w:r>
          </w:p>
        </w:tc>
        <w:tc>
          <w:tcPr>
            <w:tcW w:w="1743" w:type="dxa"/>
            <w:gridSpan w:val="4"/>
          </w:tcPr>
          <w:p>
            <w:pPr>
              <w:keepNext w:val="0"/>
              <w:keepLines w:val="0"/>
              <w:pageBreakBefore w:val="0"/>
              <w:kinsoku/>
              <w:wordWrap/>
              <w:overflowPunct/>
              <w:topLinePunct w:val="0"/>
              <w:autoSpaceDE/>
              <w:autoSpaceDN/>
              <w:bidi w:val="0"/>
              <w:adjustRightInd/>
              <w:snapToGrid w:val="0"/>
              <w:spacing w:before="40" w:line="360" w:lineRule="auto"/>
              <w:ind w:firstLine="180" w:firstLineChars="100"/>
              <w:textAlignment w:val="auto"/>
              <w:outlineLvl w:val="9"/>
              <w:rPr>
                <w:rFonts w:ascii="宋体" w:hAnsi="宋体"/>
                <w:sz w:val="18"/>
              </w:rPr>
            </w:pPr>
            <w:r>
              <w:rPr>
                <w:rFonts w:hint="eastAsia" w:ascii="宋体" w:hAnsi="宋体"/>
                <w:sz w:val="18"/>
              </w:rPr>
              <w:t>□男      □女</w:t>
            </w:r>
          </w:p>
        </w:tc>
        <w:tc>
          <w:tcPr>
            <w:tcW w:w="1440" w:type="dxa"/>
            <w:gridSpan w:val="2"/>
            <w:vMerge w:val="restart"/>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籍    贯</w:t>
            </w:r>
          </w:p>
        </w:tc>
        <w:tc>
          <w:tcPr>
            <w:tcW w:w="6410" w:type="dxa"/>
            <w:gridSpan w:val="8"/>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省（自治区/直辖市）              市（县）</w:t>
            </w:r>
          </w:p>
        </w:tc>
        <w:tc>
          <w:tcPr>
            <w:tcW w:w="1440" w:type="dxa"/>
            <w:gridSpan w:val="2"/>
            <w:vMerge w:val="continue"/>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国    籍</w:t>
            </w:r>
          </w:p>
        </w:tc>
        <w:tc>
          <w:tcPr>
            <w:tcW w:w="3635" w:type="dxa"/>
            <w:gridSpan w:val="2"/>
            <w:tcBorders>
              <w:right w:val="single" w:color="auto" w:sz="4" w:space="0"/>
            </w:tcBorders>
          </w:tcPr>
          <w:p>
            <w:pPr>
              <w:keepNext w:val="0"/>
              <w:keepLines w:val="0"/>
              <w:pageBreakBefore w:val="0"/>
              <w:kinsoku/>
              <w:wordWrap/>
              <w:overflowPunct/>
              <w:topLinePunct w:val="0"/>
              <w:autoSpaceDE/>
              <w:autoSpaceDN/>
              <w:bidi w:val="0"/>
              <w:adjustRightInd/>
              <w:snapToGrid w:val="0"/>
              <w:spacing w:before="40" w:line="360" w:lineRule="auto"/>
              <w:ind w:firstLine="180" w:firstLineChars="100"/>
              <w:textAlignment w:val="auto"/>
              <w:outlineLvl w:val="9"/>
              <w:rPr>
                <w:rFonts w:ascii="宋体" w:hAnsi="宋体"/>
                <w:sz w:val="18"/>
              </w:rPr>
            </w:pPr>
            <w:r>
              <w:rPr>
                <w:rFonts w:hint="eastAsia" w:ascii="宋体" w:hAnsi="宋体"/>
                <w:sz w:val="18"/>
              </w:rPr>
              <w:t>□中国   □其他</w:t>
            </w:r>
            <w:r>
              <w:rPr>
                <w:rFonts w:ascii="宋体" w:hAnsi="宋体"/>
                <w:sz w:val="18"/>
              </w:rPr>
              <w:t>____________</w:t>
            </w:r>
          </w:p>
        </w:tc>
        <w:tc>
          <w:tcPr>
            <w:tcW w:w="1038" w:type="dxa"/>
            <w:gridSpan w:val="3"/>
            <w:tcBorders>
              <w:left w:val="single" w:color="auto" w:sz="4" w:space="0"/>
            </w:tcBorders>
            <w:vAlign w:val="center"/>
          </w:tcPr>
          <w:p>
            <w:pPr>
              <w:keepNext w:val="0"/>
              <w:keepLines w:val="0"/>
              <w:pageBreakBefore w:val="0"/>
              <w:kinsoku/>
              <w:wordWrap/>
              <w:overflowPunct/>
              <w:topLinePunct w:val="0"/>
              <w:autoSpaceDE/>
              <w:autoSpaceDN/>
              <w:bidi w:val="0"/>
              <w:adjustRightInd/>
              <w:snapToGrid w:val="0"/>
              <w:spacing w:before="40" w:line="360" w:lineRule="auto"/>
              <w:ind w:firstLine="180" w:firstLineChars="100"/>
              <w:textAlignment w:val="auto"/>
              <w:outlineLvl w:val="9"/>
              <w:rPr>
                <w:rFonts w:ascii="宋体" w:hAnsi="宋体"/>
                <w:sz w:val="18"/>
              </w:rPr>
            </w:pPr>
            <w:r>
              <w:rPr>
                <w:rFonts w:hint="eastAsia" w:ascii="宋体" w:hAnsi="宋体"/>
                <w:sz w:val="18"/>
              </w:rPr>
              <w:t>婚姻状况</w:t>
            </w:r>
          </w:p>
        </w:tc>
        <w:tc>
          <w:tcPr>
            <w:tcW w:w="1737" w:type="dxa"/>
            <w:gridSpan w:val="3"/>
          </w:tcPr>
          <w:p>
            <w:pPr>
              <w:keepNext w:val="0"/>
              <w:keepLines w:val="0"/>
              <w:pageBreakBefore w:val="0"/>
              <w:kinsoku/>
              <w:wordWrap/>
              <w:overflowPunct/>
              <w:topLinePunct w:val="0"/>
              <w:autoSpaceDE/>
              <w:autoSpaceDN/>
              <w:bidi w:val="0"/>
              <w:adjustRightInd/>
              <w:snapToGrid w:val="0"/>
              <w:spacing w:before="40" w:line="360" w:lineRule="auto"/>
              <w:ind w:firstLine="180" w:firstLineChars="100"/>
              <w:textAlignment w:val="auto"/>
              <w:outlineLvl w:val="9"/>
              <w:rPr>
                <w:rFonts w:ascii="宋体" w:hAnsi="宋体"/>
                <w:sz w:val="18"/>
              </w:rPr>
            </w:pPr>
            <w:r>
              <w:rPr>
                <w:rFonts w:hint="eastAsia" w:ascii="宋体" w:hAnsi="宋体"/>
                <w:sz w:val="18"/>
              </w:rPr>
              <w:t>□单身    □已婚</w:t>
            </w:r>
          </w:p>
        </w:tc>
        <w:tc>
          <w:tcPr>
            <w:tcW w:w="1440" w:type="dxa"/>
            <w:gridSpan w:val="2"/>
            <w:vMerge w:val="continue"/>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民    族</w:t>
            </w:r>
          </w:p>
        </w:tc>
        <w:tc>
          <w:tcPr>
            <w:tcW w:w="3629" w:type="dxa"/>
            <w:tcBorders>
              <w:right w:val="single" w:color="auto" w:sz="4" w:space="0"/>
            </w:tcBorders>
          </w:tcPr>
          <w:p>
            <w:pPr>
              <w:keepNext w:val="0"/>
              <w:keepLines w:val="0"/>
              <w:pageBreakBefore w:val="0"/>
              <w:kinsoku/>
              <w:wordWrap/>
              <w:overflowPunct/>
              <w:topLinePunct w:val="0"/>
              <w:autoSpaceDE/>
              <w:autoSpaceDN/>
              <w:bidi w:val="0"/>
              <w:adjustRightInd/>
              <w:snapToGrid w:val="0"/>
              <w:spacing w:before="40" w:line="360" w:lineRule="auto"/>
              <w:ind w:firstLine="180" w:firstLineChars="100"/>
              <w:textAlignment w:val="auto"/>
              <w:outlineLvl w:val="9"/>
              <w:rPr>
                <w:rFonts w:ascii="宋体" w:hAnsi="宋体"/>
                <w:sz w:val="18"/>
              </w:rPr>
            </w:pPr>
            <w:r>
              <w:rPr>
                <w:rFonts w:hint="eastAsia" w:ascii="宋体" w:hAnsi="宋体"/>
                <w:sz w:val="18"/>
              </w:rPr>
              <w:t>□汉族   □少数民族（请注明）</w:t>
            </w:r>
            <w:r>
              <w:rPr>
                <w:rFonts w:ascii="宋体" w:hAnsi="宋体"/>
                <w:sz w:val="18"/>
              </w:rPr>
              <w:t>_____</w:t>
            </w:r>
          </w:p>
        </w:tc>
        <w:tc>
          <w:tcPr>
            <w:tcW w:w="1044" w:type="dxa"/>
            <w:gridSpan w:val="4"/>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before="40" w:line="360" w:lineRule="auto"/>
              <w:ind w:firstLine="180" w:firstLineChars="100"/>
              <w:textAlignment w:val="auto"/>
              <w:outlineLvl w:val="9"/>
              <w:rPr>
                <w:rFonts w:ascii="宋体" w:hAnsi="宋体"/>
                <w:sz w:val="18"/>
              </w:rPr>
            </w:pPr>
            <w:r>
              <w:rPr>
                <w:rFonts w:hint="eastAsia" w:ascii="宋体" w:hAnsi="宋体"/>
                <w:sz w:val="18"/>
              </w:rPr>
              <w:t>政治面貌</w:t>
            </w:r>
          </w:p>
        </w:tc>
        <w:tc>
          <w:tcPr>
            <w:tcW w:w="1737" w:type="dxa"/>
            <w:gridSpan w:val="3"/>
            <w:tcBorders>
              <w:left w:val="single" w:color="auto" w:sz="4" w:space="0"/>
            </w:tcBorders>
          </w:tcPr>
          <w:p>
            <w:pPr>
              <w:keepNext w:val="0"/>
              <w:keepLines w:val="0"/>
              <w:pageBreakBefore w:val="0"/>
              <w:kinsoku/>
              <w:wordWrap/>
              <w:overflowPunct/>
              <w:topLinePunct w:val="0"/>
              <w:autoSpaceDE/>
              <w:autoSpaceDN/>
              <w:bidi w:val="0"/>
              <w:adjustRightInd/>
              <w:snapToGrid w:val="0"/>
              <w:spacing w:before="40" w:line="360" w:lineRule="auto"/>
              <w:textAlignment w:val="auto"/>
              <w:outlineLvl w:val="9"/>
              <w:rPr>
                <w:rFonts w:ascii="宋体" w:hAnsi="宋体"/>
                <w:sz w:val="18"/>
              </w:rPr>
            </w:pPr>
            <w:r>
              <w:rPr>
                <w:rFonts w:hint="eastAsia" w:ascii="宋体" w:hAnsi="宋体"/>
                <w:sz w:val="18"/>
              </w:rPr>
              <w:t>群众</w:t>
            </w:r>
          </w:p>
        </w:tc>
        <w:tc>
          <w:tcPr>
            <w:tcW w:w="1440" w:type="dxa"/>
            <w:gridSpan w:val="2"/>
            <w:vMerge w:val="continue"/>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572" w:hRule="atLeast"/>
        </w:trPr>
        <w:tc>
          <w:tcPr>
            <w:tcW w:w="1825" w:type="dxa"/>
          </w:tcPr>
          <w:p>
            <w:pPr>
              <w:keepNext w:val="0"/>
              <w:keepLines w:val="0"/>
              <w:pageBreakBefore w:val="0"/>
              <w:kinsoku/>
              <w:wordWrap/>
              <w:overflowPunct/>
              <w:topLinePunct w:val="0"/>
              <w:autoSpaceDE/>
              <w:autoSpaceDN/>
              <w:bidi w:val="0"/>
              <w:adjustRightInd/>
              <w:snapToGrid w:val="0"/>
              <w:spacing w:before="40" w:after="120" w:afterLines="50" w:line="360" w:lineRule="auto"/>
              <w:jc w:val="center"/>
              <w:textAlignment w:val="auto"/>
              <w:outlineLvl w:val="9"/>
              <w:rPr>
                <w:rFonts w:ascii="宋体" w:hAnsi="宋体"/>
                <w:sz w:val="18"/>
              </w:rPr>
            </w:pPr>
            <w:r>
              <w:rPr>
                <w:rFonts w:hint="eastAsia" w:ascii="宋体" w:hAnsi="宋体"/>
                <w:sz w:val="18"/>
              </w:rPr>
              <w:t>身份证件号码</w:t>
            </w:r>
          </w:p>
        </w:tc>
        <w:tc>
          <w:tcPr>
            <w:tcW w:w="6410" w:type="dxa"/>
            <w:gridSpan w:val="8"/>
            <w:vAlign w:val="center"/>
          </w:tcPr>
          <w:p>
            <w:pPr>
              <w:keepNext w:val="0"/>
              <w:keepLines w:val="0"/>
              <w:pageBreakBefore w:val="0"/>
              <w:kinsoku/>
              <w:wordWrap/>
              <w:overflowPunct/>
              <w:topLinePunct w:val="0"/>
              <w:autoSpaceDE/>
              <w:autoSpaceDN/>
              <w:bidi w:val="0"/>
              <w:adjustRightInd/>
              <w:snapToGrid w:val="0"/>
              <w:spacing w:before="100" w:beforeAutospacing="1" w:line="360" w:lineRule="auto"/>
              <w:textAlignment w:val="auto"/>
              <w:outlineLvl w:val="9"/>
              <w:rPr>
                <w:rFonts w:ascii="宋体" w:hAnsi="宋体"/>
                <w:sz w:val="18"/>
              </w:rPr>
            </w:pPr>
            <w:r>
              <w:rPr>
                <w:rFonts w:hint="eastAsia" w:ascii="宋体" w:hAnsi="宋体"/>
                <w:sz w:val="18"/>
              </w:rPr>
              <w:t>类别：□身份证 □护照 □港澳台居民大陆通行证 □其他 （请注明）</w:t>
            </w:r>
            <w:r>
              <w:rPr>
                <w:rFonts w:ascii="宋体" w:hAnsi="宋体"/>
                <w:sz w:val="18"/>
              </w:rPr>
              <w:t>___________</w:t>
            </w:r>
          </w:p>
        </w:tc>
        <w:tc>
          <w:tcPr>
            <w:tcW w:w="1440" w:type="dxa"/>
            <w:gridSpan w:val="2"/>
            <w:vMerge w:val="continue"/>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办公电话</w:t>
            </w:r>
          </w:p>
        </w:tc>
        <w:tc>
          <w:tcPr>
            <w:tcW w:w="3629"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c>
          <w:tcPr>
            <w:tcW w:w="1038" w:type="dxa"/>
            <w:gridSpan w:val="3"/>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 xml:space="preserve">手  </w:t>
            </w:r>
            <w:r>
              <w:rPr>
                <w:rFonts w:ascii="宋体" w:hAnsi="宋体"/>
                <w:sz w:val="18"/>
              </w:rPr>
              <w:t xml:space="preserve">  </w:t>
            </w:r>
            <w:r>
              <w:rPr>
                <w:rFonts w:hint="eastAsia" w:ascii="宋体" w:hAnsi="宋体"/>
                <w:sz w:val="18"/>
              </w:rPr>
              <w:t>机</w:t>
            </w:r>
          </w:p>
        </w:tc>
        <w:tc>
          <w:tcPr>
            <w:tcW w:w="3183" w:type="dxa"/>
            <w:gridSpan w:val="6"/>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家庭电话</w:t>
            </w:r>
          </w:p>
        </w:tc>
        <w:tc>
          <w:tcPr>
            <w:tcW w:w="3629"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c>
          <w:tcPr>
            <w:tcW w:w="1038" w:type="dxa"/>
            <w:gridSpan w:val="3"/>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传</w:t>
            </w:r>
            <w:r>
              <w:rPr>
                <w:rFonts w:ascii="宋体" w:hAnsi="宋体"/>
                <w:sz w:val="18"/>
              </w:rPr>
              <w:t xml:space="preserve"> </w:t>
            </w:r>
            <w:r>
              <w:rPr>
                <w:rFonts w:hint="eastAsia" w:ascii="宋体" w:hAnsi="宋体"/>
                <w:sz w:val="18"/>
              </w:rPr>
              <w:t xml:space="preserve">  </w:t>
            </w:r>
            <w:r>
              <w:rPr>
                <w:rFonts w:ascii="宋体" w:hAnsi="宋体"/>
                <w:sz w:val="18"/>
              </w:rPr>
              <w:t xml:space="preserve"> </w:t>
            </w:r>
            <w:r>
              <w:rPr>
                <w:rFonts w:hint="eastAsia" w:ascii="宋体" w:hAnsi="宋体"/>
                <w:sz w:val="18"/>
              </w:rPr>
              <w:t>真</w:t>
            </w:r>
          </w:p>
        </w:tc>
        <w:tc>
          <w:tcPr>
            <w:tcW w:w="3183" w:type="dxa"/>
            <w:gridSpan w:val="6"/>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ascii="宋体" w:hAnsi="宋体"/>
                <w:sz w:val="18"/>
              </w:rPr>
              <w:t>E-mail</w:t>
            </w:r>
          </w:p>
        </w:tc>
        <w:tc>
          <w:tcPr>
            <w:tcW w:w="7850" w:type="dxa"/>
            <w:gridSpan w:val="10"/>
          </w:tcPr>
          <w:p>
            <w:pPr>
              <w:pStyle w:val="3"/>
              <w:keepNext w:val="0"/>
              <w:keepLines w:val="0"/>
              <w:pageBreakBefore w:val="0"/>
              <w:tabs>
                <w:tab w:val="center" w:pos="4320"/>
                <w:tab w:val="right" w:pos="8640"/>
                <w:tab w:val="clear" w:pos="4153"/>
                <w:tab w:val="clear" w:pos="8306"/>
              </w:tabs>
              <w:kinsoku/>
              <w:wordWrap/>
              <w:overflowPunct/>
              <w:topLinePunct w:val="0"/>
              <w:autoSpaceDE/>
              <w:autoSpaceDN/>
              <w:bidi w:val="0"/>
              <w:adjustRightInd/>
              <w:spacing w:before="40" w:line="360" w:lineRule="auto"/>
              <w:textAlignment w:val="auto"/>
              <w:outlineLvl w:val="9"/>
              <w:rPr>
                <w:rFonts w:ascii="宋体" w:hAnsi="宋体"/>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97" w:hRule="atLeast"/>
        </w:trPr>
        <w:tc>
          <w:tcPr>
            <w:tcW w:w="9675" w:type="dxa"/>
            <w:gridSpan w:val="11"/>
            <w:shd w:val="clear" w:color="auto" w:fill="8DB3E2"/>
            <w:vAlign w:val="center"/>
          </w:tcPr>
          <w:p>
            <w:pPr>
              <w:keepNext w:val="0"/>
              <w:keepLines w:val="0"/>
              <w:pageBreakBefore w:val="0"/>
              <w:tabs>
                <w:tab w:val="left" w:pos="422"/>
              </w:tabs>
              <w:kinsoku/>
              <w:wordWrap/>
              <w:overflowPunct/>
              <w:topLinePunct w:val="0"/>
              <w:autoSpaceDE/>
              <w:autoSpaceDN/>
              <w:bidi w:val="0"/>
              <w:adjustRightInd/>
              <w:snapToGrid w:val="0"/>
              <w:spacing w:before="40" w:line="360" w:lineRule="auto"/>
              <w:textAlignment w:val="auto"/>
              <w:outlineLvl w:val="9"/>
              <w:rPr>
                <w:rFonts w:ascii="宋体" w:hAnsi="宋体"/>
                <w:sz w:val="18"/>
              </w:rPr>
            </w:pPr>
            <w:r>
              <w:rPr>
                <w:rFonts w:hint="eastAsia" w:ascii="宋体" w:hAnsi="宋体"/>
                <w:b/>
                <w:bCs/>
              </w:rPr>
              <w:t>2、工作背景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工作经验</w:t>
            </w:r>
          </w:p>
        </w:tc>
        <w:tc>
          <w:tcPr>
            <w:tcW w:w="7850" w:type="dxa"/>
            <w:gridSpan w:val="10"/>
          </w:tcPr>
          <w:p>
            <w:pPr>
              <w:keepNext w:val="0"/>
              <w:keepLines w:val="0"/>
              <w:pageBreakBefore w:val="0"/>
              <w:kinsoku/>
              <w:wordWrap/>
              <w:overflowPunct/>
              <w:topLinePunct w:val="0"/>
              <w:autoSpaceDE/>
              <w:autoSpaceDN/>
              <w:bidi w:val="0"/>
              <w:adjustRightInd/>
              <w:snapToGrid w:val="0"/>
              <w:spacing w:before="40" w:line="360" w:lineRule="auto"/>
              <w:textAlignment w:val="auto"/>
              <w:outlineLvl w:val="9"/>
              <w:rPr>
                <w:rFonts w:ascii="宋体" w:hAnsi="宋体"/>
                <w:sz w:val="18"/>
              </w:rPr>
            </w:pPr>
            <w:r>
              <w:rPr>
                <w:rFonts w:hint="eastAsia" w:ascii="宋体" w:hAnsi="宋体"/>
                <w:sz w:val="18"/>
              </w:rPr>
              <w:t>全职工作时间</w:t>
            </w:r>
            <w:r>
              <w:rPr>
                <w:rFonts w:hint="eastAsia" w:ascii="宋体" w:hAnsi="宋体"/>
                <w:sz w:val="18"/>
                <w:u w:val="single"/>
              </w:rPr>
              <w:t xml:space="preserve">            </w:t>
            </w:r>
            <w:r>
              <w:rPr>
                <w:rFonts w:hint="eastAsia" w:ascii="宋体" w:hAnsi="宋体"/>
                <w:sz w:val="18"/>
              </w:rPr>
              <w:t>年                担任管理工作时间</w:t>
            </w:r>
            <w:r>
              <w:rPr>
                <w:rFonts w:hint="eastAsia" w:ascii="宋体" w:hAnsi="宋体"/>
                <w:sz w:val="18"/>
                <w:u w:val="single"/>
              </w:rPr>
              <w:t xml:space="preserve">        </w:t>
            </w:r>
            <w:r>
              <w:rPr>
                <w:rFonts w:hint="eastAsia" w:ascii="宋体" w:hAnsi="宋体"/>
                <w:sz w:val="18"/>
              </w:rPr>
              <w:t>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现任单位</w:t>
            </w:r>
          </w:p>
        </w:tc>
        <w:tc>
          <w:tcPr>
            <w:tcW w:w="5213" w:type="dxa"/>
            <w:gridSpan w:val="7"/>
            <w:tcBorders>
              <w:right w:val="single" w:color="auto" w:sz="4" w:space="0"/>
            </w:tcBorders>
          </w:tcPr>
          <w:p>
            <w:pPr>
              <w:keepNext w:val="0"/>
              <w:keepLines w:val="0"/>
              <w:pageBreakBefore w:val="0"/>
              <w:kinsoku/>
              <w:wordWrap/>
              <w:overflowPunct/>
              <w:topLinePunct w:val="0"/>
              <w:autoSpaceDE/>
              <w:autoSpaceDN/>
              <w:bidi w:val="0"/>
              <w:adjustRightInd/>
              <w:snapToGrid w:val="0"/>
              <w:spacing w:before="40" w:line="360" w:lineRule="auto"/>
              <w:textAlignment w:val="auto"/>
              <w:outlineLvl w:val="9"/>
              <w:rPr>
                <w:rFonts w:ascii="宋体" w:hAnsi="宋体"/>
                <w:sz w:val="18"/>
              </w:rPr>
            </w:pPr>
          </w:p>
        </w:tc>
        <w:tc>
          <w:tcPr>
            <w:tcW w:w="1260" w:type="dxa"/>
            <w:gridSpan w:val="2"/>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val="0"/>
              <w:spacing w:before="40" w:line="360" w:lineRule="auto"/>
              <w:textAlignment w:val="auto"/>
              <w:outlineLvl w:val="9"/>
              <w:rPr>
                <w:rFonts w:ascii="宋体" w:hAnsi="宋体"/>
                <w:sz w:val="18"/>
              </w:rPr>
            </w:pPr>
            <w:r>
              <w:rPr>
                <w:rFonts w:hint="eastAsia" w:ascii="宋体" w:hAnsi="宋体"/>
                <w:sz w:val="18"/>
              </w:rPr>
              <w:t>担任职务</w:t>
            </w:r>
          </w:p>
        </w:tc>
        <w:tc>
          <w:tcPr>
            <w:tcW w:w="1377" w:type="dxa"/>
            <w:tcBorders>
              <w:left w:val="single" w:color="auto" w:sz="4" w:space="0"/>
            </w:tcBorders>
          </w:tcPr>
          <w:p>
            <w:pPr>
              <w:keepNext w:val="0"/>
              <w:keepLines w:val="0"/>
              <w:pageBreakBefore w:val="0"/>
              <w:kinsoku/>
              <w:wordWrap/>
              <w:overflowPunct/>
              <w:topLinePunct w:val="0"/>
              <w:autoSpaceDE/>
              <w:autoSpaceDN/>
              <w:bidi w:val="0"/>
              <w:adjustRightInd/>
              <w:snapToGrid w:val="0"/>
              <w:spacing w:before="40" w:line="360" w:lineRule="auto"/>
              <w:textAlignment w:val="auto"/>
              <w:outlineLvl w:val="9"/>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ind w:left="-19" w:leftChars="-8" w:firstLine="16" w:firstLineChars="9"/>
              <w:jc w:val="center"/>
              <w:textAlignment w:val="auto"/>
              <w:outlineLvl w:val="9"/>
              <w:rPr>
                <w:rFonts w:ascii="宋体" w:hAnsi="宋体"/>
                <w:sz w:val="18"/>
              </w:rPr>
            </w:pPr>
            <w:r>
              <w:rPr>
                <w:rFonts w:hint="eastAsia" w:ascii="宋体" w:hAnsi="宋体"/>
                <w:sz w:val="18"/>
              </w:rPr>
              <w:t>公司总资产</w:t>
            </w:r>
          </w:p>
        </w:tc>
        <w:tc>
          <w:tcPr>
            <w:tcW w:w="3681" w:type="dxa"/>
            <w:gridSpan w:val="3"/>
          </w:tcPr>
          <w:p>
            <w:pPr>
              <w:keepNext w:val="0"/>
              <w:keepLines w:val="0"/>
              <w:pageBreakBefore w:val="0"/>
              <w:kinsoku/>
              <w:wordWrap/>
              <w:overflowPunct/>
              <w:topLinePunct w:val="0"/>
              <w:autoSpaceDE/>
              <w:autoSpaceDN/>
              <w:bidi w:val="0"/>
              <w:adjustRightInd/>
              <w:snapToGrid w:val="0"/>
              <w:spacing w:before="40" w:line="360" w:lineRule="auto"/>
              <w:ind w:left="-19" w:leftChars="-8" w:firstLine="16" w:firstLineChars="9"/>
              <w:textAlignment w:val="auto"/>
              <w:outlineLvl w:val="9"/>
              <w:rPr>
                <w:rFonts w:ascii="宋体" w:hAnsi="宋体"/>
                <w:sz w:val="18"/>
              </w:rPr>
            </w:pPr>
          </w:p>
        </w:tc>
        <w:tc>
          <w:tcPr>
            <w:tcW w:w="1412" w:type="dxa"/>
            <w:gridSpan w:val="3"/>
          </w:tcPr>
          <w:p>
            <w:pPr>
              <w:keepNext w:val="0"/>
              <w:keepLines w:val="0"/>
              <w:pageBreakBefore w:val="0"/>
              <w:kinsoku/>
              <w:wordWrap/>
              <w:overflowPunct/>
              <w:topLinePunct w:val="0"/>
              <w:autoSpaceDE/>
              <w:autoSpaceDN/>
              <w:bidi w:val="0"/>
              <w:adjustRightInd/>
              <w:snapToGrid w:val="0"/>
              <w:spacing w:before="40" w:line="360" w:lineRule="auto"/>
              <w:ind w:left="-19" w:leftChars="-8" w:firstLine="16" w:firstLineChars="9"/>
              <w:textAlignment w:val="auto"/>
              <w:outlineLvl w:val="9"/>
              <w:rPr>
                <w:rFonts w:ascii="宋体" w:hAnsi="宋体"/>
                <w:sz w:val="18"/>
              </w:rPr>
            </w:pPr>
            <w:r>
              <w:rPr>
                <w:rFonts w:hint="eastAsia" w:ascii="宋体" w:hAnsi="宋体"/>
                <w:sz w:val="18"/>
              </w:rPr>
              <w:t>公司上年销售额</w:t>
            </w:r>
          </w:p>
        </w:tc>
        <w:tc>
          <w:tcPr>
            <w:tcW w:w="2757" w:type="dxa"/>
            <w:gridSpan w:val="4"/>
          </w:tcPr>
          <w:p>
            <w:pPr>
              <w:keepNext w:val="0"/>
              <w:keepLines w:val="0"/>
              <w:pageBreakBefore w:val="0"/>
              <w:kinsoku/>
              <w:wordWrap/>
              <w:overflowPunct/>
              <w:topLinePunct w:val="0"/>
              <w:autoSpaceDE/>
              <w:autoSpaceDN/>
              <w:bidi w:val="0"/>
              <w:adjustRightInd/>
              <w:snapToGrid w:val="0"/>
              <w:spacing w:before="40" w:line="360" w:lineRule="auto"/>
              <w:ind w:left="-19" w:leftChars="-8" w:firstLine="16" w:firstLineChars="9"/>
              <w:textAlignment w:val="auto"/>
              <w:outlineLvl w:val="9"/>
              <w:rPr>
                <w:rFonts w:ascii="宋体" w:hAnsi="宋体"/>
                <w:sz w:val="18"/>
              </w:rPr>
            </w:pPr>
            <w:r>
              <w:rPr>
                <w:rFonts w:hint="eastAsia" w:ascii="宋体" w:hAnsi="宋体"/>
                <w:sz w:val="18"/>
              </w:rPr>
              <w:t xml:space="preserve"> </w:t>
            </w:r>
            <w:r>
              <w:rPr>
                <w:rFonts w:hint="eastAsia" w:ascii="宋体" w:hAnsi="宋体"/>
                <w:sz w:val="18"/>
                <w:u w:val="single"/>
              </w:rPr>
              <w:t xml:space="preserve">                 </w:t>
            </w:r>
            <w:r>
              <w:rPr>
                <w:rFonts w:hint="eastAsia" w:ascii="宋体" w:hAnsi="宋体"/>
                <w:sz w:val="18"/>
              </w:rPr>
              <w:t>（亿元）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825" w:type="dxa"/>
          </w:tcPr>
          <w:p>
            <w:pPr>
              <w:keepNext w:val="0"/>
              <w:keepLines w:val="0"/>
              <w:pageBreakBefore w:val="0"/>
              <w:kinsoku/>
              <w:wordWrap/>
              <w:overflowPunct/>
              <w:topLinePunct w:val="0"/>
              <w:autoSpaceDE/>
              <w:autoSpaceDN/>
              <w:bidi w:val="0"/>
              <w:adjustRightInd/>
              <w:snapToGrid w:val="0"/>
              <w:spacing w:before="40" w:line="360" w:lineRule="auto"/>
              <w:jc w:val="center"/>
              <w:textAlignment w:val="auto"/>
              <w:outlineLvl w:val="9"/>
              <w:rPr>
                <w:rFonts w:ascii="宋体" w:hAnsi="宋体"/>
                <w:sz w:val="18"/>
              </w:rPr>
            </w:pPr>
            <w:r>
              <w:rPr>
                <w:rFonts w:hint="eastAsia" w:ascii="宋体" w:hAnsi="宋体"/>
                <w:sz w:val="18"/>
              </w:rPr>
              <w:t>企业性质</w:t>
            </w:r>
          </w:p>
        </w:tc>
        <w:tc>
          <w:tcPr>
            <w:tcW w:w="6410" w:type="dxa"/>
            <w:gridSpan w:val="8"/>
          </w:tcPr>
          <w:p>
            <w:pPr>
              <w:keepNext w:val="0"/>
              <w:keepLines w:val="0"/>
              <w:pageBreakBefore w:val="0"/>
              <w:kinsoku/>
              <w:wordWrap/>
              <w:overflowPunct/>
              <w:topLinePunct w:val="0"/>
              <w:autoSpaceDE/>
              <w:autoSpaceDN/>
              <w:bidi w:val="0"/>
              <w:adjustRightInd/>
              <w:snapToGrid w:val="0"/>
              <w:spacing w:before="40" w:line="360" w:lineRule="auto"/>
              <w:ind w:left="-19" w:leftChars="-8"/>
              <w:textAlignment w:val="auto"/>
              <w:outlineLvl w:val="9"/>
              <w:rPr>
                <w:rFonts w:ascii="宋体" w:hAnsi="宋体"/>
                <w:sz w:val="18"/>
              </w:rPr>
            </w:pPr>
            <w:r>
              <w:rPr>
                <w:rFonts w:hint="eastAsia" w:ascii="宋体" w:hAnsi="宋体"/>
                <w:sz w:val="18"/>
              </w:rPr>
              <w:t>□国营</w:t>
            </w:r>
            <w:r>
              <w:rPr>
                <w:rFonts w:ascii="宋体" w:hAnsi="宋体"/>
                <w:sz w:val="18"/>
              </w:rPr>
              <w:t xml:space="preserve"> </w:t>
            </w:r>
            <w:r>
              <w:rPr>
                <w:rFonts w:hint="eastAsia" w:ascii="宋体" w:hAnsi="宋体"/>
                <w:sz w:val="18"/>
              </w:rPr>
              <w:t>□民营</w:t>
            </w:r>
            <w:r>
              <w:rPr>
                <w:rFonts w:ascii="宋体" w:hAnsi="宋体"/>
                <w:sz w:val="18"/>
              </w:rPr>
              <w:t xml:space="preserve"> </w:t>
            </w:r>
            <w:r>
              <w:rPr>
                <w:rFonts w:hint="eastAsia" w:ascii="宋体" w:hAnsi="宋体"/>
                <w:sz w:val="18"/>
              </w:rPr>
              <w:t>□外商独资</w:t>
            </w:r>
            <w:r>
              <w:rPr>
                <w:rFonts w:ascii="宋体" w:hAnsi="宋体"/>
                <w:sz w:val="18"/>
              </w:rPr>
              <w:t xml:space="preserve">  </w:t>
            </w:r>
            <w:r>
              <w:rPr>
                <w:rFonts w:hint="eastAsia" w:ascii="宋体" w:hAnsi="宋体"/>
                <w:sz w:val="18"/>
              </w:rPr>
              <w:t>□中外合资</w:t>
            </w:r>
            <w:r>
              <w:rPr>
                <w:rFonts w:ascii="宋体" w:hAnsi="宋体"/>
                <w:sz w:val="18"/>
              </w:rPr>
              <w:t xml:space="preserve">   </w:t>
            </w:r>
            <w:r>
              <w:rPr>
                <w:rFonts w:hint="eastAsia" w:ascii="宋体" w:hAnsi="宋体"/>
                <w:sz w:val="18"/>
              </w:rPr>
              <w:t>其它（请注明）</w:t>
            </w:r>
            <w:r>
              <w:rPr>
                <w:rFonts w:ascii="宋体" w:hAnsi="宋体"/>
                <w:sz w:val="18"/>
              </w:rPr>
              <w:t xml:space="preserve"> __</w:t>
            </w:r>
            <w:r>
              <w:rPr>
                <w:rFonts w:hint="eastAsia" w:ascii="宋体" w:hAnsi="宋体"/>
                <w:sz w:val="18"/>
              </w:rPr>
              <w:t>民营</w:t>
            </w:r>
            <w:r>
              <w:rPr>
                <w:rFonts w:ascii="宋体" w:hAnsi="宋体"/>
                <w:sz w:val="18"/>
              </w:rPr>
              <w:t>________</w:t>
            </w:r>
          </w:p>
        </w:tc>
        <w:tc>
          <w:tcPr>
            <w:tcW w:w="1440" w:type="dxa"/>
            <w:gridSpan w:val="2"/>
          </w:tcPr>
          <w:p>
            <w:pPr>
              <w:keepNext w:val="0"/>
              <w:keepLines w:val="0"/>
              <w:pageBreakBefore w:val="0"/>
              <w:kinsoku/>
              <w:wordWrap/>
              <w:overflowPunct/>
              <w:topLinePunct w:val="0"/>
              <w:autoSpaceDE/>
              <w:autoSpaceDN/>
              <w:bidi w:val="0"/>
              <w:adjustRightInd/>
              <w:snapToGrid w:val="0"/>
              <w:spacing w:before="40" w:line="360" w:lineRule="auto"/>
              <w:ind w:left="-19" w:leftChars="-8" w:firstLine="16" w:firstLineChars="9"/>
              <w:jc w:val="center"/>
              <w:textAlignment w:val="auto"/>
              <w:outlineLvl w:val="9"/>
              <w:rPr>
                <w:rFonts w:ascii="宋体" w:hAnsi="宋体"/>
                <w:sz w:val="18"/>
              </w:rPr>
            </w:pPr>
            <w:r>
              <w:rPr>
                <w:rFonts w:hint="eastAsia" w:ascii="宋体" w:hAnsi="宋体"/>
                <w:sz w:val="18"/>
              </w:rPr>
              <w:t>股份制公司  □是  □否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1788" w:hRule="atLeast"/>
        </w:trPr>
        <w:tc>
          <w:tcPr>
            <w:tcW w:w="1825" w:type="dxa"/>
            <w:vAlign w:val="center"/>
          </w:tcPr>
          <w:p>
            <w:pPr>
              <w:keepNext w:val="0"/>
              <w:keepLines w:val="0"/>
              <w:pageBreakBefore w:val="0"/>
              <w:kinsoku/>
              <w:wordWrap/>
              <w:overflowPunct/>
              <w:topLinePunct w:val="0"/>
              <w:autoSpaceDE/>
              <w:autoSpaceDN/>
              <w:bidi w:val="0"/>
              <w:adjustRightInd/>
              <w:spacing w:line="360" w:lineRule="auto"/>
              <w:jc w:val="center"/>
              <w:textAlignment w:val="auto"/>
              <w:outlineLvl w:val="9"/>
              <w:rPr>
                <w:rFonts w:ascii="宋体" w:hAnsi="宋体"/>
                <w:sz w:val="18"/>
                <w:szCs w:val="18"/>
              </w:rPr>
            </w:pPr>
            <w:r>
              <w:rPr>
                <w:rFonts w:hint="eastAsia" w:ascii="宋体" w:hAnsi="宋体"/>
                <w:sz w:val="18"/>
                <w:szCs w:val="18"/>
              </w:rPr>
              <w:t>资格审核</w:t>
            </w:r>
          </w:p>
        </w:tc>
        <w:tc>
          <w:tcPr>
            <w:tcW w:w="7850" w:type="dxa"/>
            <w:gridSpan w:val="10"/>
            <w:vAlign w:val="center"/>
          </w:tcPr>
          <w:p>
            <w:pPr>
              <w:keepNext w:val="0"/>
              <w:keepLines w:val="0"/>
              <w:pageBreakBefore w:val="0"/>
              <w:kinsoku/>
              <w:wordWrap/>
              <w:overflowPunct/>
              <w:topLinePunct w:val="0"/>
              <w:autoSpaceDE/>
              <w:autoSpaceDN/>
              <w:bidi w:val="0"/>
              <w:adjustRightInd/>
              <w:spacing w:line="360" w:lineRule="auto"/>
              <w:jc w:val="center"/>
              <w:textAlignment w:val="auto"/>
              <w:outlineLvl w:val="9"/>
              <w:rPr>
                <w:rFonts w:ascii="宋体" w:hAnsi="宋体"/>
              </w:rPr>
            </w:pPr>
          </w:p>
          <w:p>
            <w:pPr>
              <w:pStyle w:val="16"/>
              <w:keepNext w:val="0"/>
              <w:keepLines w:val="0"/>
              <w:pageBreakBefore w:val="0"/>
              <w:kinsoku/>
              <w:wordWrap/>
              <w:overflowPunct/>
              <w:topLinePunct w:val="0"/>
              <w:autoSpaceDE/>
              <w:autoSpaceDN/>
              <w:bidi w:val="0"/>
              <w:adjustRightInd/>
              <w:spacing w:before="0" w:beforeLines="0" w:after="120" w:line="360" w:lineRule="auto"/>
              <w:textAlignment w:val="auto"/>
              <w:outlineLvl w:val="9"/>
              <w:rPr>
                <w:rFonts w:ascii="宋体" w:hAnsi="宋体" w:eastAsia="宋体"/>
              </w:rPr>
            </w:pPr>
          </w:p>
          <w:p>
            <w:pPr>
              <w:pStyle w:val="16"/>
              <w:keepNext w:val="0"/>
              <w:keepLines w:val="0"/>
              <w:pageBreakBefore w:val="0"/>
              <w:kinsoku/>
              <w:wordWrap/>
              <w:overflowPunct/>
              <w:topLinePunct w:val="0"/>
              <w:autoSpaceDE/>
              <w:autoSpaceDN/>
              <w:bidi w:val="0"/>
              <w:adjustRightInd/>
              <w:spacing w:before="0" w:beforeLines="0" w:after="120" w:line="360" w:lineRule="auto"/>
              <w:textAlignment w:val="auto"/>
              <w:outlineLvl w:val="9"/>
              <w:rPr>
                <w:rFonts w:ascii="宋体" w:hAnsi="宋体" w:eastAsia="宋体"/>
                <w:sz w:val="18"/>
                <w:szCs w:val="18"/>
              </w:rPr>
            </w:pPr>
            <w:r>
              <w:rPr>
                <w:rFonts w:hint="eastAsia" w:ascii="宋体" w:hAnsi="宋体" w:eastAsia="宋体"/>
              </w:rPr>
              <w:t xml:space="preserve">                            </w:t>
            </w:r>
            <w:r>
              <w:rPr>
                <w:rFonts w:hint="eastAsia" w:ascii="宋体" w:hAnsi="宋体" w:eastAsia="宋体"/>
                <w:sz w:val="18"/>
                <w:szCs w:val="18"/>
              </w:rPr>
              <w:t>审核人签字：</w:t>
            </w:r>
          </w:p>
          <w:p>
            <w:pPr>
              <w:keepNext w:val="0"/>
              <w:keepLines w:val="0"/>
              <w:pageBreakBefore w:val="0"/>
              <w:kinsoku/>
              <w:wordWrap/>
              <w:overflowPunct/>
              <w:topLinePunct w:val="0"/>
              <w:autoSpaceDE/>
              <w:autoSpaceDN/>
              <w:bidi w:val="0"/>
              <w:adjustRightInd/>
              <w:spacing w:line="360" w:lineRule="auto"/>
              <w:jc w:val="center"/>
              <w:textAlignment w:val="auto"/>
              <w:outlineLvl w:val="9"/>
              <w:rPr>
                <w:rFonts w:ascii="宋体" w:hAnsi="宋体"/>
              </w:rPr>
            </w:pPr>
            <w:r>
              <w:rPr>
                <w:rFonts w:hint="eastAsia" w:ascii="宋体" w:hAnsi="宋体"/>
                <w:sz w:val="18"/>
                <w:szCs w:val="18"/>
              </w:rPr>
              <w:t xml:space="preserve">                                          年  月  日    （中心公章）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1090" w:hRule="atLeast"/>
        </w:trPr>
        <w:tc>
          <w:tcPr>
            <w:tcW w:w="1825" w:type="dxa"/>
            <w:tcBorders>
              <w:bottom w:val="single" w:color="000000" w:sz="6" w:space="0"/>
            </w:tcBorders>
            <w:vAlign w:val="center"/>
          </w:tcPr>
          <w:p>
            <w:pPr>
              <w:keepNext w:val="0"/>
              <w:keepLines w:val="0"/>
              <w:pageBreakBefore w:val="0"/>
              <w:kinsoku/>
              <w:wordWrap/>
              <w:overflowPunct/>
              <w:topLinePunct w:val="0"/>
              <w:autoSpaceDE/>
              <w:autoSpaceDN/>
              <w:bidi w:val="0"/>
              <w:adjustRightInd/>
              <w:spacing w:line="360" w:lineRule="auto"/>
              <w:jc w:val="both"/>
              <w:textAlignment w:val="auto"/>
              <w:outlineLvl w:val="9"/>
              <w:rPr>
                <w:rFonts w:hint="eastAsia" w:ascii="宋体" w:hAnsi="宋体" w:eastAsia="宋体"/>
                <w:sz w:val="18"/>
                <w:szCs w:val="18"/>
                <w:lang w:val="en-US" w:eastAsia="zh-CN"/>
              </w:rPr>
            </w:pPr>
            <w:r>
              <w:rPr>
                <w:rFonts w:hint="eastAsia" w:ascii="宋体" w:hAnsi="宋体" w:eastAsia="宋体"/>
                <w:sz w:val="18"/>
                <w:szCs w:val="18"/>
                <w:lang w:val="en-US" w:eastAsia="zh-CN"/>
              </w:rPr>
              <w:t xml:space="preserve">      联系方式</w:t>
            </w:r>
          </w:p>
        </w:tc>
        <w:tc>
          <w:tcPr>
            <w:tcW w:w="7850" w:type="dxa"/>
            <w:gridSpan w:val="10"/>
            <w:tcBorders>
              <w:bottom w:val="single" w:color="000000" w:sz="6" w:space="0"/>
            </w:tcBorders>
            <w:vAlign w:val="center"/>
          </w:tcPr>
          <w:p>
            <w:pPr>
              <w:keepNext w:val="0"/>
              <w:keepLines w:val="0"/>
              <w:pageBreakBefore w:val="0"/>
              <w:kinsoku/>
              <w:wordWrap/>
              <w:overflowPunct/>
              <w:topLinePunct w:val="0"/>
              <w:autoSpaceDE/>
              <w:autoSpaceDN/>
              <w:bidi w:val="0"/>
              <w:adjustRightInd/>
              <w:spacing w:line="360" w:lineRule="auto"/>
              <w:ind w:right="-624"/>
              <w:textAlignment w:val="auto"/>
              <w:outlineLvl w:val="9"/>
              <w:rPr>
                <w:rFonts w:eastAsia="楷体"/>
              </w:rPr>
            </w:pPr>
            <w:r>
              <w:rPr>
                <w:rFonts w:hint="eastAsia" w:eastAsia="楷体"/>
              </w:rPr>
              <w:t>联系人：</w:t>
            </w:r>
            <w:r>
              <w:rPr>
                <w:rFonts w:hint="eastAsia" w:eastAsia="楷体"/>
                <w:lang w:eastAsia="zh-CN"/>
              </w:rPr>
              <w:t>张老师</w:t>
            </w:r>
            <w:r>
              <w:rPr>
                <w:rFonts w:hint="eastAsia" w:eastAsia="楷体"/>
                <w:lang w:val="en-US" w:eastAsia="zh-CN"/>
              </w:rPr>
              <w:t xml:space="preserve"> 15801019329（微信同号）</w:t>
            </w:r>
            <w:r>
              <w:rPr>
                <w:rFonts w:hint="eastAsia" w:eastAsia="楷体"/>
              </w:rPr>
              <w:t xml:space="preserve"> </w:t>
            </w:r>
          </w:p>
          <w:p>
            <w:pPr>
              <w:keepNext w:val="0"/>
              <w:keepLines w:val="0"/>
              <w:pageBreakBefore w:val="0"/>
              <w:kinsoku/>
              <w:wordWrap/>
              <w:overflowPunct/>
              <w:topLinePunct w:val="0"/>
              <w:autoSpaceDE/>
              <w:autoSpaceDN/>
              <w:bidi w:val="0"/>
              <w:adjustRightInd/>
              <w:spacing w:line="360" w:lineRule="auto"/>
              <w:ind w:right="-624"/>
              <w:textAlignment w:val="auto"/>
              <w:outlineLvl w:val="9"/>
              <w:rPr>
                <w:rFonts w:ascii="宋体" w:hAnsi="宋体"/>
                <w:sz w:val="18"/>
                <w:szCs w:val="18"/>
              </w:rPr>
            </w:pPr>
            <w:r>
              <w:rPr>
                <w:rFonts w:hint="eastAsia" w:eastAsia="楷体"/>
                <w:lang w:val="en-US" w:eastAsia="zh-CN"/>
              </w:rPr>
              <w:t>邮    箱：pkuyxb@163.com</w:t>
            </w:r>
          </w:p>
        </w:tc>
      </w:tr>
      <w:bookmarkEnd w:id="0"/>
    </w:tbl>
    <w:p>
      <w:pPr>
        <w:keepNext w:val="0"/>
        <w:keepLines w:val="0"/>
        <w:pageBreakBefore w:val="0"/>
        <w:kinsoku/>
        <w:wordWrap/>
        <w:overflowPunct/>
        <w:topLinePunct w:val="0"/>
        <w:autoSpaceDE/>
        <w:autoSpaceDN/>
        <w:bidi w:val="0"/>
        <w:adjustRightInd/>
        <w:spacing w:line="360" w:lineRule="auto"/>
        <w:textAlignment w:val="auto"/>
        <w:outlineLvl w:val="9"/>
      </w:pPr>
    </w:p>
    <w:p>
      <w:pPr>
        <w:keepNext w:val="0"/>
        <w:keepLines w:val="0"/>
        <w:pageBreakBefore w:val="0"/>
        <w:kinsoku/>
        <w:wordWrap/>
        <w:overflowPunct/>
        <w:topLinePunct w:val="0"/>
        <w:autoSpaceDE/>
        <w:autoSpaceDN/>
        <w:bidi w:val="0"/>
        <w:adjustRightInd/>
        <w:spacing w:line="360" w:lineRule="auto"/>
        <w:textAlignment w:val="auto"/>
        <w:outlineLvl w:val="9"/>
        <w:rPr>
          <w:rFonts w:eastAsia="楷体"/>
        </w:rPr>
      </w:pPr>
      <w:r>
        <w:rPr>
          <w:rFonts w:hint="eastAsia"/>
        </w:rPr>
        <w:t xml:space="preserve">     申请人签名_____________________         申请日期______________________</w:t>
      </w:r>
    </w:p>
    <w:sectPr>
      <w:headerReference r:id="rId3" w:type="default"/>
      <w:pgSz w:w="12240" w:h="15840"/>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等线">
    <w:altName w:val="宋体"/>
    <w:panose1 w:val="02010600030101010101"/>
    <w:charset w:val="86"/>
    <w:family w:val="auto"/>
    <w:pitch w:val="default"/>
    <w:sig w:usb0="00000000" w:usb1="00000000" w:usb2="00000016" w:usb3="00000000" w:csb0="0004000F" w:csb1="00000000"/>
  </w:font>
  <w:font w:name="Courier New">
    <w:panose1 w:val="02070309020205020404"/>
    <w:charset w:val="00"/>
    <w:family w:val="auto"/>
    <w:pitch w:val="default"/>
    <w:sig w:usb0="E0002AFF" w:usb1="C0007843" w:usb2="00000009" w:usb3="00000000" w:csb0="400001FF" w:csb1="FFFF0000"/>
  </w:font>
  <w:font w:name="仿宋_GB2312">
    <w:altName w:val="仿宋"/>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30204"/>
    <w:charset w:val="00"/>
    <w:family w:val="auto"/>
    <w:pitch w:val="default"/>
    <w:sig w:usb0="00000000" w:usb1="00000000" w:usb2="00000000" w:usb3="00000000" w:csb0="00000093" w:csb1="00000000"/>
  </w:font>
  <w:font w:name="等线 Light">
    <w:altName w:val="宋体"/>
    <w:panose1 w:val="02010600030101010101"/>
    <w:charset w:val="86"/>
    <w:family w:val="auto"/>
    <w:pitch w:val="default"/>
    <w:sig w:usb0="00000000" w:usb1="00000000" w:usb2="00000016" w:usb3="00000000" w:csb0="0004000F" w:csb1="00000000"/>
  </w:font>
  <w:font w:name="Calibri Light">
    <w:panose1 w:val="020F0302020204030204"/>
    <w:charset w:val="00"/>
    <w:family w:val="auto"/>
    <w:pitch w:val="default"/>
    <w:sig w:usb0="A00002EF" w:usb1="4000207B" w:usb2="00000000" w:usb3="00000000" w:csb0="2000019F"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 w:name="等线">
    <w:altName w:val="宋体"/>
    <w:panose1 w:val="00000000000000000000"/>
    <w:charset w:val="86"/>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华文宋体">
    <w:altName w:val="宋体"/>
    <w:panose1 w:val="02010600040101010101"/>
    <w:charset w:val="86"/>
    <w:family w:val="auto"/>
    <w:pitch w:val="default"/>
    <w:sig w:usb0="00000000" w:usb1="00000000" w:usb2="00000010" w:usb3="00000000" w:csb0="0004009F" w:csb1="00000000"/>
  </w:font>
  <w:font w:name="等线">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Theme="majorEastAsia" w:hAnsiTheme="majorEastAsia" w:eastAsiaTheme="majorEastAsia"/>
        <w:b/>
        <w:sz w:val="24"/>
        <w:szCs w:val="13"/>
      </w:rPr>
    </w:pPr>
    <w:r>
      <w:rPr>
        <w:rFonts w:asciiTheme="majorEastAsia" w:hAnsiTheme="majorEastAsia" w:eastAsiaTheme="majorEastAsia"/>
        <w:b/>
        <w:sz w:val="18"/>
        <w:szCs w:val="13"/>
      </w:rPr>
      <w:drawing>
        <wp:anchor distT="0" distB="0" distL="114300" distR="114300" simplePos="0" relativeHeight="251658240" behindDoc="0" locked="0" layoutInCell="1" allowOverlap="1">
          <wp:simplePos x="0" y="0"/>
          <wp:positionH relativeFrom="column">
            <wp:posOffset>-35560</wp:posOffset>
          </wp:positionH>
          <wp:positionV relativeFrom="paragraph">
            <wp:posOffset>-116840</wp:posOffset>
          </wp:positionV>
          <wp:extent cx="2245995" cy="292735"/>
          <wp:effectExtent l="0" t="0" r="1905" b="1270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45995" cy="292735"/>
                  </a:xfrm>
                  <a:prstGeom prst="rect">
                    <a:avLst/>
                  </a:prstGeom>
                </pic:spPr>
              </pic:pic>
            </a:graphicData>
          </a:graphic>
        </wp:anchor>
      </w:drawing>
    </w:r>
    <w:r>
      <w:rPr>
        <w:rFonts w:hint="eastAsia" w:asciiTheme="majorEastAsia" w:hAnsiTheme="majorEastAsia" w:eastAsiaTheme="majorEastAsia"/>
        <w:b/>
        <w:sz w:val="18"/>
        <w:szCs w:val="13"/>
      </w:rPr>
      <w:t>来自北京大学的创新教育革命，卓越190商业领袖培育工程！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3F5B17"/>
    <w:multiLevelType w:val="multilevel"/>
    <w:tmpl w:val="363F5B17"/>
    <w:lvl w:ilvl="0" w:tentative="0">
      <w:start w:val="1"/>
      <w:numFmt w:val="bullet"/>
      <w:lvlText w:val=""/>
      <w:lvlJc w:val="left"/>
      <w:pPr>
        <w:ind w:left="479" w:hanging="480"/>
      </w:pPr>
      <w:rPr>
        <w:rFonts w:hint="default" w:ascii="Wingdings" w:hAnsi="Wingdings"/>
      </w:rPr>
    </w:lvl>
    <w:lvl w:ilvl="1" w:tentative="0">
      <w:start w:val="1"/>
      <w:numFmt w:val="bullet"/>
      <w:lvlText w:val=""/>
      <w:lvlJc w:val="left"/>
      <w:pPr>
        <w:ind w:left="959" w:hanging="480"/>
      </w:pPr>
      <w:rPr>
        <w:rFonts w:hint="default" w:ascii="Wingdings" w:hAnsi="Wingdings"/>
      </w:rPr>
    </w:lvl>
    <w:lvl w:ilvl="2" w:tentative="0">
      <w:start w:val="1"/>
      <w:numFmt w:val="bullet"/>
      <w:lvlText w:val=""/>
      <w:lvlJc w:val="left"/>
      <w:pPr>
        <w:ind w:left="1439" w:hanging="480"/>
      </w:pPr>
      <w:rPr>
        <w:rFonts w:hint="default" w:ascii="Wingdings" w:hAnsi="Wingdings"/>
      </w:rPr>
    </w:lvl>
    <w:lvl w:ilvl="3" w:tentative="0">
      <w:start w:val="1"/>
      <w:numFmt w:val="bullet"/>
      <w:lvlText w:val=""/>
      <w:lvlJc w:val="left"/>
      <w:pPr>
        <w:ind w:left="1919" w:hanging="480"/>
      </w:pPr>
      <w:rPr>
        <w:rFonts w:hint="default" w:ascii="Wingdings" w:hAnsi="Wingdings"/>
      </w:rPr>
    </w:lvl>
    <w:lvl w:ilvl="4" w:tentative="0">
      <w:start w:val="1"/>
      <w:numFmt w:val="bullet"/>
      <w:lvlText w:val=""/>
      <w:lvlJc w:val="left"/>
      <w:pPr>
        <w:ind w:left="2399" w:hanging="480"/>
      </w:pPr>
      <w:rPr>
        <w:rFonts w:hint="default" w:ascii="Wingdings" w:hAnsi="Wingdings"/>
      </w:rPr>
    </w:lvl>
    <w:lvl w:ilvl="5" w:tentative="0">
      <w:start w:val="1"/>
      <w:numFmt w:val="bullet"/>
      <w:lvlText w:val=""/>
      <w:lvlJc w:val="left"/>
      <w:pPr>
        <w:ind w:left="2879" w:hanging="480"/>
      </w:pPr>
      <w:rPr>
        <w:rFonts w:hint="default" w:ascii="Wingdings" w:hAnsi="Wingdings"/>
      </w:rPr>
    </w:lvl>
    <w:lvl w:ilvl="6" w:tentative="0">
      <w:start w:val="1"/>
      <w:numFmt w:val="bullet"/>
      <w:lvlText w:val=""/>
      <w:lvlJc w:val="left"/>
      <w:pPr>
        <w:ind w:left="3359" w:hanging="480"/>
      </w:pPr>
      <w:rPr>
        <w:rFonts w:hint="default" w:ascii="Wingdings" w:hAnsi="Wingdings"/>
      </w:rPr>
    </w:lvl>
    <w:lvl w:ilvl="7" w:tentative="0">
      <w:start w:val="1"/>
      <w:numFmt w:val="bullet"/>
      <w:lvlText w:val=""/>
      <w:lvlJc w:val="left"/>
      <w:pPr>
        <w:ind w:left="3839" w:hanging="480"/>
      </w:pPr>
      <w:rPr>
        <w:rFonts w:hint="default" w:ascii="Wingdings" w:hAnsi="Wingdings"/>
      </w:rPr>
    </w:lvl>
    <w:lvl w:ilvl="8" w:tentative="0">
      <w:start w:val="1"/>
      <w:numFmt w:val="bullet"/>
      <w:lvlText w:val=""/>
      <w:lvlJc w:val="left"/>
      <w:pPr>
        <w:ind w:left="4319" w:hanging="480"/>
      </w:pPr>
      <w:rPr>
        <w:rFonts w:hint="default" w:ascii="Wingdings" w:hAnsi="Wingdings"/>
      </w:rPr>
    </w:lvl>
  </w:abstractNum>
  <w:abstractNum w:abstractNumId="1">
    <w:nsid w:val="6C0B4336"/>
    <w:multiLevelType w:val="multilevel"/>
    <w:tmpl w:val="6C0B4336"/>
    <w:lvl w:ilvl="0" w:tentative="0">
      <w:start w:val="1"/>
      <w:numFmt w:val="bullet"/>
      <w:lvlText w:val=""/>
      <w:lvlJc w:val="left"/>
      <w:pPr>
        <w:ind w:left="420" w:hanging="420"/>
      </w:pPr>
      <w:rPr>
        <w:rFonts w:hint="default" w:ascii="Wingdings" w:hAnsi="Wingdings"/>
        <w:sz w:val="24"/>
        <w:szCs w:val="24"/>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7A240FA5"/>
    <w:multiLevelType w:val="multilevel"/>
    <w:tmpl w:val="7A240FA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val="1"/>
  <w:bordersDoNotSurroundFooter w:val="1"/>
  <w:hideSpellingErrors/>
  <w:hideGrammaticalErrors/>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568"/>
    <w:rsid w:val="000030CC"/>
    <w:rsid w:val="00005BF3"/>
    <w:rsid w:val="00007124"/>
    <w:rsid w:val="00007237"/>
    <w:rsid w:val="00007B61"/>
    <w:rsid w:val="00012D6F"/>
    <w:rsid w:val="0001325E"/>
    <w:rsid w:val="0001497A"/>
    <w:rsid w:val="000152A3"/>
    <w:rsid w:val="0002457F"/>
    <w:rsid w:val="00024C3E"/>
    <w:rsid w:val="0002518E"/>
    <w:rsid w:val="00033A24"/>
    <w:rsid w:val="00034694"/>
    <w:rsid w:val="00035C33"/>
    <w:rsid w:val="00045875"/>
    <w:rsid w:val="0005063E"/>
    <w:rsid w:val="00050BD0"/>
    <w:rsid w:val="00052927"/>
    <w:rsid w:val="00053096"/>
    <w:rsid w:val="00061AD9"/>
    <w:rsid w:val="0006539A"/>
    <w:rsid w:val="00065509"/>
    <w:rsid w:val="00066BC8"/>
    <w:rsid w:val="00073429"/>
    <w:rsid w:val="00074BF7"/>
    <w:rsid w:val="00075237"/>
    <w:rsid w:val="00090828"/>
    <w:rsid w:val="00091D82"/>
    <w:rsid w:val="00093335"/>
    <w:rsid w:val="000A1DB9"/>
    <w:rsid w:val="000A39A4"/>
    <w:rsid w:val="000A6DBB"/>
    <w:rsid w:val="000A6EEC"/>
    <w:rsid w:val="000A776A"/>
    <w:rsid w:val="000B30CF"/>
    <w:rsid w:val="000C107D"/>
    <w:rsid w:val="000C6522"/>
    <w:rsid w:val="000C6D0E"/>
    <w:rsid w:val="000D2FF6"/>
    <w:rsid w:val="000E7154"/>
    <w:rsid w:val="000E7270"/>
    <w:rsid w:val="000F3784"/>
    <w:rsid w:val="000F465B"/>
    <w:rsid w:val="000F467A"/>
    <w:rsid w:val="000F559C"/>
    <w:rsid w:val="000F64D3"/>
    <w:rsid w:val="000F6B31"/>
    <w:rsid w:val="000F794E"/>
    <w:rsid w:val="0011488B"/>
    <w:rsid w:val="00116626"/>
    <w:rsid w:val="00130079"/>
    <w:rsid w:val="00144387"/>
    <w:rsid w:val="00147BBD"/>
    <w:rsid w:val="00150F82"/>
    <w:rsid w:val="001534B3"/>
    <w:rsid w:val="00155A99"/>
    <w:rsid w:val="00161B61"/>
    <w:rsid w:val="00161E0A"/>
    <w:rsid w:val="0016247A"/>
    <w:rsid w:val="00162779"/>
    <w:rsid w:val="00164E00"/>
    <w:rsid w:val="00174FFE"/>
    <w:rsid w:val="001779F8"/>
    <w:rsid w:val="00186C37"/>
    <w:rsid w:val="00192258"/>
    <w:rsid w:val="00193B01"/>
    <w:rsid w:val="00197880"/>
    <w:rsid w:val="001A0823"/>
    <w:rsid w:val="001A2901"/>
    <w:rsid w:val="001A359C"/>
    <w:rsid w:val="001A4C33"/>
    <w:rsid w:val="001B0512"/>
    <w:rsid w:val="001B27B4"/>
    <w:rsid w:val="001B305C"/>
    <w:rsid w:val="001C188D"/>
    <w:rsid w:val="001C3418"/>
    <w:rsid w:val="001C42DE"/>
    <w:rsid w:val="001C6239"/>
    <w:rsid w:val="001C6526"/>
    <w:rsid w:val="001C7DCE"/>
    <w:rsid w:val="001D50A6"/>
    <w:rsid w:val="001E08D9"/>
    <w:rsid w:val="001E1A10"/>
    <w:rsid w:val="001E2D3F"/>
    <w:rsid w:val="001E36BC"/>
    <w:rsid w:val="001E4FC5"/>
    <w:rsid w:val="001F0E49"/>
    <w:rsid w:val="001F706B"/>
    <w:rsid w:val="00201EDA"/>
    <w:rsid w:val="0021043E"/>
    <w:rsid w:val="00214663"/>
    <w:rsid w:val="00215020"/>
    <w:rsid w:val="0021606C"/>
    <w:rsid w:val="002174C0"/>
    <w:rsid w:val="0023219C"/>
    <w:rsid w:val="002329AC"/>
    <w:rsid w:val="002418A0"/>
    <w:rsid w:val="0024211D"/>
    <w:rsid w:val="002434E9"/>
    <w:rsid w:val="00247124"/>
    <w:rsid w:val="00247358"/>
    <w:rsid w:val="00247C78"/>
    <w:rsid w:val="002539E0"/>
    <w:rsid w:val="002541BF"/>
    <w:rsid w:val="00255AE9"/>
    <w:rsid w:val="00255FE8"/>
    <w:rsid w:val="0025719B"/>
    <w:rsid w:val="002604D2"/>
    <w:rsid w:val="00261B20"/>
    <w:rsid w:val="00272661"/>
    <w:rsid w:val="002742DB"/>
    <w:rsid w:val="00274F1F"/>
    <w:rsid w:val="00275060"/>
    <w:rsid w:val="00281AD0"/>
    <w:rsid w:val="00291E1A"/>
    <w:rsid w:val="00292B41"/>
    <w:rsid w:val="0029552E"/>
    <w:rsid w:val="00296938"/>
    <w:rsid w:val="002A4702"/>
    <w:rsid w:val="002A4F28"/>
    <w:rsid w:val="002A4FCB"/>
    <w:rsid w:val="002A6182"/>
    <w:rsid w:val="002B2693"/>
    <w:rsid w:val="002B4C0E"/>
    <w:rsid w:val="002B5023"/>
    <w:rsid w:val="002B5A4A"/>
    <w:rsid w:val="002B6B7D"/>
    <w:rsid w:val="002C1FC2"/>
    <w:rsid w:val="002C4669"/>
    <w:rsid w:val="002C642A"/>
    <w:rsid w:val="002C7420"/>
    <w:rsid w:val="002D2678"/>
    <w:rsid w:val="002D2BEC"/>
    <w:rsid w:val="002D3002"/>
    <w:rsid w:val="002D5255"/>
    <w:rsid w:val="002D57DE"/>
    <w:rsid w:val="002D5900"/>
    <w:rsid w:val="002E22FA"/>
    <w:rsid w:val="002E32AB"/>
    <w:rsid w:val="002E462E"/>
    <w:rsid w:val="002E7B5F"/>
    <w:rsid w:val="002F4401"/>
    <w:rsid w:val="003024FD"/>
    <w:rsid w:val="00303AAA"/>
    <w:rsid w:val="0030425E"/>
    <w:rsid w:val="0030526E"/>
    <w:rsid w:val="00305D5B"/>
    <w:rsid w:val="003103DF"/>
    <w:rsid w:val="00310E0D"/>
    <w:rsid w:val="0031131F"/>
    <w:rsid w:val="003124A0"/>
    <w:rsid w:val="00330313"/>
    <w:rsid w:val="0033108E"/>
    <w:rsid w:val="00331281"/>
    <w:rsid w:val="00332C51"/>
    <w:rsid w:val="003346A1"/>
    <w:rsid w:val="003411BE"/>
    <w:rsid w:val="00342CEE"/>
    <w:rsid w:val="003438B1"/>
    <w:rsid w:val="00343E5A"/>
    <w:rsid w:val="003444BE"/>
    <w:rsid w:val="00350967"/>
    <w:rsid w:val="003523CB"/>
    <w:rsid w:val="00360B73"/>
    <w:rsid w:val="00361F39"/>
    <w:rsid w:val="003648B8"/>
    <w:rsid w:val="00374B00"/>
    <w:rsid w:val="00375635"/>
    <w:rsid w:val="0038291D"/>
    <w:rsid w:val="00385515"/>
    <w:rsid w:val="003910E0"/>
    <w:rsid w:val="003914F8"/>
    <w:rsid w:val="0039257A"/>
    <w:rsid w:val="00394ACC"/>
    <w:rsid w:val="003A2281"/>
    <w:rsid w:val="003A6710"/>
    <w:rsid w:val="003C37B3"/>
    <w:rsid w:val="003C3854"/>
    <w:rsid w:val="003C4D31"/>
    <w:rsid w:val="003C4E8D"/>
    <w:rsid w:val="003D11E9"/>
    <w:rsid w:val="003D21E0"/>
    <w:rsid w:val="003D2390"/>
    <w:rsid w:val="003D2DA6"/>
    <w:rsid w:val="003D3BEB"/>
    <w:rsid w:val="003D435F"/>
    <w:rsid w:val="003D53FA"/>
    <w:rsid w:val="003E4705"/>
    <w:rsid w:val="003E6210"/>
    <w:rsid w:val="003E7EEF"/>
    <w:rsid w:val="003F0CCB"/>
    <w:rsid w:val="003F37D3"/>
    <w:rsid w:val="0040214D"/>
    <w:rsid w:val="00403753"/>
    <w:rsid w:val="0041041C"/>
    <w:rsid w:val="00412FBE"/>
    <w:rsid w:val="00414149"/>
    <w:rsid w:val="00415776"/>
    <w:rsid w:val="00416323"/>
    <w:rsid w:val="00426A67"/>
    <w:rsid w:val="00434704"/>
    <w:rsid w:val="00435084"/>
    <w:rsid w:val="00440BD1"/>
    <w:rsid w:val="00442AD8"/>
    <w:rsid w:val="00445B52"/>
    <w:rsid w:val="0044788F"/>
    <w:rsid w:val="0045589C"/>
    <w:rsid w:val="00456050"/>
    <w:rsid w:val="00456DF7"/>
    <w:rsid w:val="00462FD9"/>
    <w:rsid w:val="00465EAC"/>
    <w:rsid w:val="0046606B"/>
    <w:rsid w:val="00466DAE"/>
    <w:rsid w:val="00467942"/>
    <w:rsid w:val="00470067"/>
    <w:rsid w:val="00470F06"/>
    <w:rsid w:val="00471482"/>
    <w:rsid w:val="004750EF"/>
    <w:rsid w:val="00475DEC"/>
    <w:rsid w:val="004806CB"/>
    <w:rsid w:val="00480B6C"/>
    <w:rsid w:val="004911A2"/>
    <w:rsid w:val="00492437"/>
    <w:rsid w:val="004936FF"/>
    <w:rsid w:val="004958CD"/>
    <w:rsid w:val="004A3DE1"/>
    <w:rsid w:val="004A51F6"/>
    <w:rsid w:val="004A5DE0"/>
    <w:rsid w:val="004B1CF8"/>
    <w:rsid w:val="004B40D5"/>
    <w:rsid w:val="004B6F60"/>
    <w:rsid w:val="004C3035"/>
    <w:rsid w:val="004C6AB7"/>
    <w:rsid w:val="004C6E9C"/>
    <w:rsid w:val="004D2942"/>
    <w:rsid w:val="004D3B26"/>
    <w:rsid w:val="004E2122"/>
    <w:rsid w:val="004E3669"/>
    <w:rsid w:val="004E5AF8"/>
    <w:rsid w:val="004F4DC6"/>
    <w:rsid w:val="004F64DA"/>
    <w:rsid w:val="004F7B35"/>
    <w:rsid w:val="005142B9"/>
    <w:rsid w:val="005179E7"/>
    <w:rsid w:val="00520C32"/>
    <w:rsid w:val="0052394C"/>
    <w:rsid w:val="00531477"/>
    <w:rsid w:val="00532B32"/>
    <w:rsid w:val="00536BA4"/>
    <w:rsid w:val="00540376"/>
    <w:rsid w:val="00541040"/>
    <w:rsid w:val="005427A1"/>
    <w:rsid w:val="00544C59"/>
    <w:rsid w:val="00547287"/>
    <w:rsid w:val="0055400A"/>
    <w:rsid w:val="00563B95"/>
    <w:rsid w:val="00565825"/>
    <w:rsid w:val="0057068A"/>
    <w:rsid w:val="00580834"/>
    <w:rsid w:val="00581649"/>
    <w:rsid w:val="00581AC0"/>
    <w:rsid w:val="005829DE"/>
    <w:rsid w:val="005861AD"/>
    <w:rsid w:val="00591EB8"/>
    <w:rsid w:val="0059717B"/>
    <w:rsid w:val="005A176C"/>
    <w:rsid w:val="005C2729"/>
    <w:rsid w:val="005C4722"/>
    <w:rsid w:val="005C7744"/>
    <w:rsid w:val="005D01F1"/>
    <w:rsid w:val="005D12EE"/>
    <w:rsid w:val="005D23EF"/>
    <w:rsid w:val="005D26C5"/>
    <w:rsid w:val="005D4208"/>
    <w:rsid w:val="005D64E8"/>
    <w:rsid w:val="005E08A5"/>
    <w:rsid w:val="005E4DD5"/>
    <w:rsid w:val="005F07F9"/>
    <w:rsid w:val="005F7E01"/>
    <w:rsid w:val="00605261"/>
    <w:rsid w:val="00607CA2"/>
    <w:rsid w:val="006120C1"/>
    <w:rsid w:val="0061250D"/>
    <w:rsid w:val="00615AC3"/>
    <w:rsid w:val="006238FC"/>
    <w:rsid w:val="00632803"/>
    <w:rsid w:val="006422D3"/>
    <w:rsid w:val="00643623"/>
    <w:rsid w:val="00645B35"/>
    <w:rsid w:val="0064603F"/>
    <w:rsid w:val="006539CE"/>
    <w:rsid w:val="006539FD"/>
    <w:rsid w:val="006544D1"/>
    <w:rsid w:val="00654F8E"/>
    <w:rsid w:val="00662FB3"/>
    <w:rsid w:val="00663796"/>
    <w:rsid w:val="00664945"/>
    <w:rsid w:val="00672873"/>
    <w:rsid w:val="006757F0"/>
    <w:rsid w:val="006763A5"/>
    <w:rsid w:val="00681BB4"/>
    <w:rsid w:val="006839D9"/>
    <w:rsid w:val="00684528"/>
    <w:rsid w:val="00690939"/>
    <w:rsid w:val="00691C01"/>
    <w:rsid w:val="00697A3C"/>
    <w:rsid w:val="006A4670"/>
    <w:rsid w:val="006B00AC"/>
    <w:rsid w:val="006B0C13"/>
    <w:rsid w:val="006B7182"/>
    <w:rsid w:val="006B7E64"/>
    <w:rsid w:val="006C49E2"/>
    <w:rsid w:val="006C5A2D"/>
    <w:rsid w:val="006C6E7A"/>
    <w:rsid w:val="006C78C4"/>
    <w:rsid w:val="006D039C"/>
    <w:rsid w:val="006D2971"/>
    <w:rsid w:val="006D42F3"/>
    <w:rsid w:val="006D6340"/>
    <w:rsid w:val="006E2004"/>
    <w:rsid w:val="006E76CC"/>
    <w:rsid w:val="006F287D"/>
    <w:rsid w:val="006F2B1A"/>
    <w:rsid w:val="006F3125"/>
    <w:rsid w:val="006F3CBC"/>
    <w:rsid w:val="006F7D36"/>
    <w:rsid w:val="00711636"/>
    <w:rsid w:val="0071183E"/>
    <w:rsid w:val="0071208E"/>
    <w:rsid w:val="00714EC8"/>
    <w:rsid w:val="00720B39"/>
    <w:rsid w:val="00736793"/>
    <w:rsid w:val="00736E54"/>
    <w:rsid w:val="007435EC"/>
    <w:rsid w:val="00752C6B"/>
    <w:rsid w:val="00762829"/>
    <w:rsid w:val="00766333"/>
    <w:rsid w:val="0077044B"/>
    <w:rsid w:val="0078428D"/>
    <w:rsid w:val="007848C9"/>
    <w:rsid w:val="00785F95"/>
    <w:rsid w:val="007866C0"/>
    <w:rsid w:val="00793A9A"/>
    <w:rsid w:val="00793B52"/>
    <w:rsid w:val="007945F7"/>
    <w:rsid w:val="00795B30"/>
    <w:rsid w:val="00796F97"/>
    <w:rsid w:val="007A5C82"/>
    <w:rsid w:val="007B020F"/>
    <w:rsid w:val="007B21B7"/>
    <w:rsid w:val="007B22D1"/>
    <w:rsid w:val="007B701C"/>
    <w:rsid w:val="007D415B"/>
    <w:rsid w:val="007E2BCF"/>
    <w:rsid w:val="007E6C1C"/>
    <w:rsid w:val="007F582F"/>
    <w:rsid w:val="007F7A54"/>
    <w:rsid w:val="0080156D"/>
    <w:rsid w:val="00807E03"/>
    <w:rsid w:val="0081113B"/>
    <w:rsid w:val="0081524F"/>
    <w:rsid w:val="00820C48"/>
    <w:rsid w:val="00821871"/>
    <w:rsid w:val="0082208C"/>
    <w:rsid w:val="00824616"/>
    <w:rsid w:val="00824622"/>
    <w:rsid w:val="00825813"/>
    <w:rsid w:val="00830135"/>
    <w:rsid w:val="008307F2"/>
    <w:rsid w:val="00830FEB"/>
    <w:rsid w:val="008311CF"/>
    <w:rsid w:val="00835EB8"/>
    <w:rsid w:val="00837742"/>
    <w:rsid w:val="00845E0A"/>
    <w:rsid w:val="00847C35"/>
    <w:rsid w:val="00851695"/>
    <w:rsid w:val="00854F70"/>
    <w:rsid w:val="00855580"/>
    <w:rsid w:val="0085594D"/>
    <w:rsid w:val="00857F11"/>
    <w:rsid w:val="008623FF"/>
    <w:rsid w:val="00863C26"/>
    <w:rsid w:val="00870BE2"/>
    <w:rsid w:val="00871DB4"/>
    <w:rsid w:val="00874F2E"/>
    <w:rsid w:val="00876D8C"/>
    <w:rsid w:val="008811E2"/>
    <w:rsid w:val="008820D6"/>
    <w:rsid w:val="00884506"/>
    <w:rsid w:val="00886406"/>
    <w:rsid w:val="0089279E"/>
    <w:rsid w:val="00893C70"/>
    <w:rsid w:val="0089693F"/>
    <w:rsid w:val="00896D67"/>
    <w:rsid w:val="008A0247"/>
    <w:rsid w:val="008A03B7"/>
    <w:rsid w:val="008A04FA"/>
    <w:rsid w:val="008A7BC3"/>
    <w:rsid w:val="008B2BBA"/>
    <w:rsid w:val="008B3210"/>
    <w:rsid w:val="008B41B0"/>
    <w:rsid w:val="008C03E3"/>
    <w:rsid w:val="008C524B"/>
    <w:rsid w:val="008D0991"/>
    <w:rsid w:val="008D622E"/>
    <w:rsid w:val="008E0477"/>
    <w:rsid w:val="008E3705"/>
    <w:rsid w:val="008F1086"/>
    <w:rsid w:val="008F75C4"/>
    <w:rsid w:val="00900143"/>
    <w:rsid w:val="0090016F"/>
    <w:rsid w:val="00900BC1"/>
    <w:rsid w:val="00906F9C"/>
    <w:rsid w:val="00907B05"/>
    <w:rsid w:val="00911DA7"/>
    <w:rsid w:val="00925976"/>
    <w:rsid w:val="0093188C"/>
    <w:rsid w:val="009341C9"/>
    <w:rsid w:val="009369AC"/>
    <w:rsid w:val="00937835"/>
    <w:rsid w:val="00940950"/>
    <w:rsid w:val="0094171F"/>
    <w:rsid w:val="009422E0"/>
    <w:rsid w:val="00942AAB"/>
    <w:rsid w:val="00943352"/>
    <w:rsid w:val="00944568"/>
    <w:rsid w:val="00946FFD"/>
    <w:rsid w:val="00961A0F"/>
    <w:rsid w:val="00961B24"/>
    <w:rsid w:val="0096245F"/>
    <w:rsid w:val="00966AFE"/>
    <w:rsid w:val="009815BB"/>
    <w:rsid w:val="009816ED"/>
    <w:rsid w:val="0098291D"/>
    <w:rsid w:val="0098318C"/>
    <w:rsid w:val="00986B6C"/>
    <w:rsid w:val="0099407C"/>
    <w:rsid w:val="009947CF"/>
    <w:rsid w:val="0099606A"/>
    <w:rsid w:val="009973B8"/>
    <w:rsid w:val="009A2192"/>
    <w:rsid w:val="009A2589"/>
    <w:rsid w:val="009A5440"/>
    <w:rsid w:val="009A662B"/>
    <w:rsid w:val="009A735F"/>
    <w:rsid w:val="009A7640"/>
    <w:rsid w:val="009B1C0F"/>
    <w:rsid w:val="009B36A5"/>
    <w:rsid w:val="009B45C9"/>
    <w:rsid w:val="009C054A"/>
    <w:rsid w:val="009C08BF"/>
    <w:rsid w:val="009C678D"/>
    <w:rsid w:val="009D1330"/>
    <w:rsid w:val="009D57E6"/>
    <w:rsid w:val="009D6A5E"/>
    <w:rsid w:val="009D77D5"/>
    <w:rsid w:val="009D7A7B"/>
    <w:rsid w:val="009E12D2"/>
    <w:rsid w:val="009E1534"/>
    <w:rsid w:val="009E3A2D"/>
    <w:rsid w:val="009E3AF3"/>
    <w:rsid w:val="009F1566"/>
    <w:rsid w:val="009F47A5"/>
    <w:rsid w:val="009F7D8A"/>
    <w:rsid w:val="00A0152D"/>
    <w:rsid w:val="00A04707"/>
    <w:rsid w:val="00A051F5"/>
    <w:rsid w:val="00A062E6"/>
    <w:rsid w:val="00A073FA"/>
    <w:rsid w:val="00A079E5"/>
    <w:rsid w:val="00A101DA"/>
    <w:rsid w:val="00A1286F"/>
    <w:rsid w:val="00A23688"/>
    <w:rsid w:val="00A2390C"/>
    <w:rsid w:val="00A2572F"/>
    <w:rsid w:val="00A3094A"/>
    <w:rsid w:val="00A3263C"/>
    <w:rsid w:val="00A34F9E"/>
    <w:rsid w:val="00A36415"/>
    <w:rsid w:val="00A36F32"/>
    <w:rsid w:val="00A45025"/>
    <w:rsid w:val="00A45B75"/>
    <w:rsid w:val="00A46477"/>
    <w:rsid w:val="00A46538"/>
    <w:rsid w:val="00A71B1C"/>
    <w:rsid w:val="00A73EDA"/>
    <w:rsid w:val="00A7451A"/>
    <w:rsid w:val="00A83146"/>
    <w:rsid w:val="00A835F7"/>
    <w:rsid w:val="00A855E1"/>
    <w:rsid w:val="00A97E8A"/>
    <w:rsid w:val="00AA00A5"/>
    <w:rsid w:val="00AA29A4"/>
    <w:rsid w:val="00AA554C"/>
    <w:rsid w:val="00AA5F02"/>
    <w:rsid w:val="00AB4BE0"/>
    <w:rsid w:val="00AB6B96"/>
    <w:rsid w:val="00AC1FFE"/>
    <w:rsid w:val="00AC44BD"/>
    <w:rsid w:val="00AC4C76"/>
    <w:rsid w:val="00AC54C1"/>
    <w:rsid w:val="00AC61D7"/>
    <w:rsid w:val="00AD1F2A"/>
    <w:rsid w:val="00AE01F6"/>
    <w:rsid w:val="00AE23C9"/>
    <w:rsid w:val="00AE394A"/>
    <w:rsid w:val="00AF43E1"/>
    <w:rsid w:val="00AF6572"/>
    <w:rsid w:val="00AF6C8B"/>
    <w:rsid w:val="00AF7162"/>
    <w:rsid w:val="00B015E2"/>
    <w:rsid w:val="00B0440A"/>
    <w:rsid w:val="00B07E77"/>
    <w:rsid w:val="00B10929"/>
    <w:rsid w:val="00B158C9"/>
    <w:rsid w:val="00B1646A"/>
    <w:rsid w:val="00B1766A"/>
    <w:rsid w:val="00B17BAE"/>
    <w:rsid w:val="00B241EB"/>
    <w:rsid w:val="00B24C7B"/>
    <w:rsid w:val="00B2780F"/>
    <w:rsid w:val="00B302B3"/>
    <w:rsid w:val="00B31F7E"/>
    <w:rsid w:val="00B34C33"/>
    <w:rsid w:val="00B36DF8"/>
    <w:rsid w:val="00B42D29"/>
    <w:rsid w:val="00B51F3F"/>
    <w:rsid w:val="00B5224F"/>
    <w:rsid w:val="00B54E74"/>
    <w:rsid w:val="00B550FE"/>
    <w:rsid w:val="00B56934"/>
    <w:rsid w:val="00B57719"/>
    <w:rsid w:val="00B636A5"/>
    <w:rsid w:val="00B64068"/>
    <w:rsid w:val="00B6725E"/>
    <w:rsid w:val="00B74227"/>
    <w:rsid w:val="00B80239"/>
    <w:rsid w:val="00B8145E"/>
    <w:rsid w:val="00B81763"/>
    <w:rsid w:val="00B81D0D"/>
    <w:rsid w:val="00B9293C"/>
    <w:rsid w:val="00B935B0"/>
    <w:rsid w:val="00BA4B39"/>
    <w:rsid w:val="00BA5030"/>
    <w:rsid w:val="00BB30E0"/>
    <w:rsid w:val="00BB3A59"/>
    <w:rsid w:val="00BC78D9"/>
    <w:rsid w:val="00BD35C3"/>
    <w:rsid w:val="00BD600F"/>
    <w:rsid w:val="00BE109C"/>
    <w:rsid w:val="00BE4370"/>
    <w:rsid w:val="00BE4871"/>
    <w:rsid w:val="00BE56E0"/>
    <w:rsid w:val="00BE71A5"/>
    <w:rsid w:val="00BF229C"/>
    <w:rsid w:val="00BF4348"/>
    <w:rsid w:val="00BF5CAA"/>
    <w:rsid w:val="00C07C55"/>
    <w:rsid w:val="00C174AC"/>
    <w:rsid w:val="00C247B3"/>
    <w:rsid w:val="00C27529"/>
    <w:rsid w:val="00C340D2"/>
    <w:rsid w:val="00C4295C"/>
    <w:rsid w:val="00C42EC1"/>
    <w:rsid w:val="00C53A65"/>
    <w:rsid w:val="00C56C80"/>
    <w:rsid w:val="00C57EE0"/>
    <w:rsid w:val="00C62684"/>
    <w:rsid w:val="00C71199"/>
    <w:rsid w:val="00C736AC"/>
    <w:rsid w:val="00C74CFE"/>
    <w:rsid w:val="00C75BE5"/>
    <w:rsid w:val="00C81207"/>
    <w:rsid w:val="00C84DF5"/>
    <w:rsid w:val="00C8584F"/>
    <w:rsid w:val="00C903F8"/>
    <w:rsid w:val="00CA00D2"/>
    <w:rsid w:val="00CA3AAA"/>
    <w:rsid w:val="00CA4074"/>
    <w:rsid w:val="00CA7316"/>
    <w:rsid w:val="00CA735B"/>
    <w:rsid w:val="00CB08A7"/>
    <w:rsid w:val="00CB1D6F"/>
    <w:rsid w:val="00CB4174"/>
    <w:rsid w:val="00CB4C88"/>
    <w:rsid w:val="00CC1146"/>
    <w:rsid w:val="00CC6500"/>
    <w:rsid w:val="00CD1060"/>
    <w:rsid w:val="00CD1944"/>
    <w:rsid w:val="00CD490C"/>
    <w:rsid w:val="00CD7A4D"/>
    <w:rsid w:val="00CE412F"/>
    <w:rsid w:val="00CE468D"/>
    <w:rsid w:val="00CF16DF"/>
    <w:rsid w:val="00CF72D2"/>
    <w:rsid w:val="00CF769D"/>
    <w:rsid w:val="00D00CD6"/>
    <w:rsid w:val="00D02175"/>
    <w:rsid w:val="00D02394"/>
    <w:rsid w:val="00D07472"/>
    <w:rsid w:val="00D14ECD"/>
    <w:rsid w:val="00D213B8"/>
    <w:rsid w:val="00D22325"/>
    <w:rsid w:val="00D3152C"/>
    <w:rsid w:val="00D3180D"/>
    <w:rsid w:val="00D3342D"/>
    <w:rsid w:val="00D34320"/>
    <w:rsid w:val="00D351DA"/>
    <w:rsid w:val="00D3562D"/>
    <w:rsid w:val="00D36E93"/>
    <w:rsid w:val="00D41DDA"/>
    <w:rsid w:val="00D42A64"/>
    <w:rsid w:val="00D547F6"/>
    <w:rsid w:val="00D6202B"/>
    <w:rsid w:val="00D630B9"/>
    <w:rsid w:val="00D654E7"/>
    <w:rsid w:val="00D6642E"/>
    <w:rsid w:val="00D74164"/>
    <w:rsid w:val="00D754B7"/>
    <w:rsid w:val="00D7703F"/>
    <w:rsid w:val="00D80F4C"/>
    <w:rsid w:val="00D85A1C"/>
    <w:rsid w:val="00D87CCB"/>
    <w:rsid w:val="00D9326E"/>
    <w:rsid w:val="00D96831"/>
    <w:rsid w:val="00DA2C12"/>
    <w:rsid w:val="00DA2FB5"/>
    <w:rsid w:val="00DA4903"/>
    <w:rsid w:val="00DA5CFF"/>
    <w:rsid w:val="00DA7EF7"/>
    <w:rsid w:val="00DB0057"/>
    <w:rsid w:val="00DB07CE"/>
    <w:rsid w:val="00DB4A25"/>
    <w:rsid w:val="00DC5376"/>
    <w:rsid w:val="00DC6966"/>
    <w:rsid w:val="00DD24F6"/>
    <w:rsid w:val="00DD284A"/>
    <w:rsid w:val="00DE5B54"/>
    <w:rsid w:val="00DE7408"/>
    <w:rsid w:val="00DF07B0"/>
    <w:rsid w:val="00DF164F"/>
    <w:rsid w:val="00DF4AE5"/>
    <w:rsid w:val="00DF60E6"/>
    <w:rsid w:val="00E000B4"/>
    <w:rsid w:val="00E05AD4"/>
    <w:rsid w:val="00E05EA9"/>
    <w:rsid w:val="00E07EEF"/>
    <w:rsid w:val="00E07FFA"/>
    <w:rsid w:val="00E114D5"/>
    <w:rsid w:val="00E11687"/>
    <w:rsid w:val="00E162A2"/>
    <w:rsid w:val="00E17220"/>
    <w:rsid w:val="00E17BC4"/>
    <w:rsid w:val="00E26076"/>
    <w:rsid w:val="00E30E96"/>
    <w:rsid w:val="00E313C7"/>
    <w:rsid w:val="00E31968"/>
    <w:rsid w:val="00E3240C"/>
    <w:rsid w:val="00E32C71"/>
    <w:rsid w:val="00E3437D"/>
    <w:rsid w:val="00E40181"/>
    <w:rsid w:val="00E428BD"/>
    <w:rsid w:val="00E45011"/>
    <w:rsid w:val="00E54774"/>
    <w:rsid w:val="00E63F36"/>
    <w:rsid w:val="00E64613"/>
    <w:rsid w:val="00E675A4"/>
    <w:rsid w:val="00E74013"/>
    <w:rsid w:val="00E74233"/>
    <w:rsid w:val="00E74621"/>
    <w:rsid w:val="00E84406"/>
    <w:rsid w:val="00E86295"/>
    <w:rsid w:val="00E90EBE"/>
    <w:rsid w:val="00EA23C4"/>
    <w:rsid w:val="00EA2512"/>
    <w:rsid w:val="00EA4665"/>
    <w:rsid w:val="00EB155C"/>
    <w:rsid w:val="00EB4BA2"/>
    <w:rsid w:val="00EB534E"/>
    <w:rsid w:val="00EB593D"/>
    <w:rsid w:val="00EC1112"/>
    <w:rsid w:val="00EC30C9"/>
    <w:rsid w:val="00EC3AD9"/>
    <w:rsid w:val="00EC49F2"/>
    <w:rsid w:val="00ED07C2"/>
    <w:rsid w:val="00ED0A8A"/>
    <w:rsid w:val="00ED6CC0"/>
    <w:rsid w:val="00ED7226"/>
    <w:rsid w:val="00EE22EF"/>
    <w:rsid w:val="00EE5298"/>
    <w:rsid w:val="00EE5F0B"/>
    <w:rsid w:val="00EF07E3"/>
    <w:rsid w:val="00EF0A9C"/>
    <w:rsid w:val="00EF1B81"/>
    <w:rsid w:val="00EF3F3E"/>
    <w:rsid w:val="00EF64D7"/>
    <w:rsid w:val="00F01D2C"/>
    <w:rsid w:val="00F06AAD"/>
    <w:rsid w:val="00F11264"/>
    <w:rsid w:val="00F17519"/>
    <w:rsid w:val="00F227DF"/>
    <w:rsid w:val="00F24D9D"/>
    <w:rsid w:val="00F261F9"/>
    <w:rsid w:val="00F270AF"/>
    <w:rsid w:val="00F316CD"/>
    <w:rsid w:val="00F31DAF"/>
    <w:rsid w:val="00F32FA4"/>
    <w:rsid w:val="00F338D0"/>
    <w:rsid w:val="00F352EC"/>
    <w:rsid w:val="00F40C27"/>
    <w:rsid w:val="00F41232"/>
    <w:rsid w:val="00F42864"/>
    <w:rsid w:val="00F459C4"/>
    <w:rsid w:val="00F47D14"/>
    <w:rsid w:val="00F55231"/>
    <w:rsid w:val="00F604BF"/>
    <w:rsid w:val="00F6373E"/>
    <w:rsid w:val="00F733AB"/>
    <w:rsid w:val="00F735CF"/>
    <w:rsid w:val="00F85DD8"/>
    <w:rsid w:val="00FA0B3B"/>
    <w:rsid w:val="00FA184B"/>
    <w:rsid w:val="00FB7724"/>
    <w:rsid w:val="00FC1B48"/>
    <w:rsid w:val="00FC4848"/>
    <w:rsid w:val="00FC5B45"/>
    <w:rsid w:val="00FC6CFF"/>
    <w:rsid w:val="00FD1FBC"/>
    <w:rsid w:val="00FD5005"/>
    <w:rsid w:val="00FD7A9F"/>
    <w:rsid w:val="00FE0034"/>
    <w:rsid w:val="00FE1492"/>
    <w:rsid w:val="00FE3943"/>
    <w:rsid w:val="00FE5160"/>
    <w:rsid w:val="00FE618A"/>
    <w:rsid w:val="00FF5E85"/>
    <w:rsid w:val="00FF60F8"/>
    <w:rsid w:val="00FF6D86"/>
    <w:rsid w:val="00FF72C8"/>
    <w:rsid w:val="06890F06"/>
    <w:rsid w:val="141E4A57"/>
    <w:rsid w:val="1B8C71AE"/>
    <w:rsid w:val="1DC56533"/>
    <w:rsid w:val="21660C28"/>
    <w:rsid w:val="26D511DF"/>
    <w:rsid w:val="2BC34225"/>
    <w:rsid w:val="2C4A7C38"/>
    <w:rsid w:val="31027C28"/>
    <w:rsid w:val="403C14C8"/>
    <w:rsid w:val="52CF5332"/>
    <w:rsid w:val="58751422"/>
    <w:rsid w:val="5B3E2254"/>
    <w:rsid w:val="73BC4B4C"/>
    <w:rsid w:val="75637989"/>
    <w:rsid w:val="778035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cs="Times New Roman" w:eastAsiaTheme="minorEastAsia"/>
      <w:sz w:val="24"/>
      <w:szCs w:val="24"/>
      <w:lang w:val="en-US" w:eastAsia="zh-CN" w:bidi="ar-SA"/>
    </w:rPr>
  </w:style>
  <w:style w:type="character" w:default="1" w:styleId="5">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15"/>
    <w:unhideWhenUsed/>
    <w:qFormat/>
    <w:uiPriority w:val="99"/>
    <w:pPr>
      <w:tabs>
        <w:tab w:val="center" w:pos="4153"/>
        <w:tab w:val="right" w:pos="8306"/>
      </w:tabs>
      <w:snapToGrid w:val="0"/>
    </w:pPr>
    <w:rPr>
      <w:sz w:val="18"/>
      <w:szCs w:val="18"/>
    </w:rPr>
  </w:style>
  <w:style w:type="paragraph" w:styleId="3">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spacing w:before="100" w:beforeAutospacing="1" w:after="100" w:afterAutospacing="1"/>
    </w:pPr>
    <w:rPr>
      <w:rFonts w:ascii="宋体" w:hAnsi="宋体" w:eastAsia="宋体" w:cs="宋体"/>
    </w:rPr>
  </w:style>
  <w:style w:type="character" w:styleId="6">
    <w:name w:val="Strong"/>
    <w:basedOn w:val="5"/>
    <w:qFormat/>
    <w:uiPriority w:val="22"/>
    <w:rPr>
      <w:b/>
      <w:bCs/>
    </w:rPr>
  </w:style>
  <w:style w:type="character" w:styleId="7">
    <w:name w:val="Emphasis"/>
    <w:basedOn w:val="5"/>
    <w:qFormat/>
    <w:uiPriority w:val="20"/>
    <w:rPr>
      <w:color w:val="CC0000"/>
    </w:rPr>
  </w:style>
  <w:style w:type="character" w:styleId="8">
    <w:name w:val="Hyperlink"/>
    <w:basedOn w:val="5"/>
    <w:unhideWhenUsed/>
    <w:uiPriority w:val="99"/>
    <w:rPr>
      <w:color w:val="0000FF"/>
      <w:u w:val="single"/>
    </w:rPr>
  </w:style>
  <w:style w:type="character" w:styleId="9">
    <w:name w:val="HTML Code"/>
    <w:unhideWhenUsed/>
    <w:qFormat/>
    <w:uiPriority w:val="99"/>
    <w:rPr>
      <w:rFonts w:ascii="Courier New" w:hAnsi="Courier New"/>
      <w:sz w:val="21"/>
      <w:szCs w:val="21"/>
    </w:rPr>
  </w:style>
  <w:style w:type="table" w:styleId="11">
    <w:name w:val="Table Grid"/>
    <w:basedOn w:val="10"/>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2">
    <w:name w:val="List Paragraph"/>
    <w:basedOn w:val="1"/>
    <w:qFormat/>
    <w:uiPriority w:val="34"/>
    <w:pPr>
      <w:ind w:firstLine="420" w:firstLineChars="200"/>
    </w:pPr>
  </w:style>
  <w:style w:type="paragraph" w:customStyle="1" w:styleId="13">
    <w:name w:val="Default"/>
    <w:qFormat/>
    <w:uiPriority w:val="0"/>
    <w:pPr>
      <w:widowControl w:val="0"/>
      <w:autoSpaceDE w:val="0"/>
      <w:autoSpaceDN w:val="0"/>
      <w:adjustRightInd w:val="0"/>
      <w:spacing w:after="0" w:line="240" w:lineRule="auto"/>
    </w:pPr>
    <w:rPr>
      <w:rFonts w:ascii="宋体" w:eastAsia="宋体" w:cs="宋体" w:hAnsiTheme="minorHAnsi"/>
      <w:color w:val="000000"/>
      <w:sz w:val="24"/>
      <w:szCs w:val="24"/>
      <w:lang w:val="en-US" w:eastAsia="zh-CN" w:bidi="ar-SA"/>
    </w:rPr>
  </w:style>
  <w:style w:type="character" w:customStyle="1" w:styleId="14">
    <w:name w:val="页眉字符"/>
    <w:basedOn w:val="5"/>
    <w:link w:val="3"/>
    <w:qFormat/>
    <w:uiPriority w:val="99"/>
    <w:rPr>
      <w:sz w:val="18"/>
      <w:szCs w:val="18"/>
    </w:rPr>
  </w:style>
  <w:style w:type="character" w:customStyle="1" w:styleId="15">
    <w:name w:val="页脚字符"/>
    <w:basedOn w:val="5"/>
    <w:link w:val="2"/>
    <w:qFormat/>
    <w:uiPriority w:val="99"/>
    <w:rPr>
      <w:sz w:val="18"/>
      <w:szCs w:val="18"/>
    </w:rPr>
  </w:style>
  <w:style w:type="paragraph" w:customStyle="1" w:styleId="16">
    <w:name w:val="作者"/>
    <w:basedOn w:val="1"/>
    <w:qFormat/>
    <w:uiPriority w:val="0"/>
    <w:pPr>
      <w:widowControl w:val="0"/>
      <w:spacing w:before="156" w:beforeLines="50" w:after="156" w:afterLines="50"/>
      <w:jc w:val="center"/>
    </w:pPr>
    <w:rPr>
      <w:rFonts w:eastAsia="仿宋_GB2312"/>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6396</Words>
  <Characters>6703</Characters>
  <Lines>52</Lines>
  <Paragraphs>14</Paragraphs>
  <ScaleCrop>false</ScaleCrop>
  <LinksUpToDate>false</LinksUpToDate>
  <CharactersWithSpaces>7097</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2017-06-14T12:16:00Z</dcterms:created>
  <dc:creator>wei zhang</dc:creator>
  <cp:lastModifiedBy>Administrator</cp:lastModifiedBy>
  <cp:lastPrinted>2017-06-14T12:16:00Z</cp:lastPrinted>
  <dcterms:modified xsi:type="dcterms:W3CDTF">2018-01-29T09:09:43Z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